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E0917" w14:textId="77777777" w:rsidR="00F41C81" w:rsidRDefault="002628B6">
      <w:pPr>
        <w:jc w:val="center"/>
        <w:rPr>
          <w:b/>
          <w:u w:val="single"/>
        </w:rPr>
      </w:pPr>
      <w:r>
        <w:rPr>
          <w:b/>
          <w:u w:val="single"/>
        </w:rPr>
        <w:t>The Teacher Collaborative Grant</w:t>
      </w:r>
    </w:p>
    <w:p w14:paraId="422F69A2" w14:textId="77777777" w:rsidR="00F41C81" w:rsidRDefault="002628B6">
      <w:pPr>
        <w:jc w:val="center"/>
        <w:rPr>
          <w:b/>
        </w:rPr>
      </w:pPr>
      <w:r>
        <w:rPr>
          <w:b/>
        </w:rPr>
        <w:t>Amendment Submission Review Process</w:t>
      </w:r>
    </w:p>
    <w:p w14:paraId="2FF4411F" w14:textId="77777777" w:rsidR="00F41C81" w:rsidRDefault="002628B6">
      <w:r>
        <w:t xml:space="preserve"> </w:t>
      </w:r>
    </w:p>
    <w:p w14:paraId="487310DC" w14:textId="77777777" w:rsidR="00F41C81" w:rsidRDefault="002628B6">
      <w:r>
        <w:t xml:space="preserve">The Teacher Collaborative Grant Program was developed based upon the recommendations of the Kirwan Commission, and awards grants to teacher collaboratives to develop and implement at least two of the following: </w:t>
      </w:r>
    </w:p>
    <w:p w14:paraId="015AB685" w14:textId="77777777" w:rsidR="00F41C81" w:rsidRDefault="00F41C81"/>
    <w:p w14:paraId="1018C3B1" w14:textId="77777777" w:rsidR="00F41C81" w:rsidRDefault="002628B6">
      <w:pPr>
        <w:numPr>
          <w:ilvl w:val="0"/>
          <w:numId w:val="3"/>
        </w:numPr>
      </w:pPr>
      <w:r>
        <w:t>A 21st-century practicum design for teacher</w:t>
      </w:r>
      <w:r>
        <w:t xml:space="preserve"> candidates to gain teaching experience in the classroom, and that also incorporates a career ladder system.</w:t>
      </w:r>
    </w:p>
    <w:p w14:paraId="211819B2" w14:textId="77777777" w:rsidR="00F41C81" w:rsidRDefault="002628B6">
      <w:pPr>
        <w:numPr>
          <w:ilvl w:val="0"/>
          <w:numId w:val="3"/>
        </w:numPr>
      </w:pPr>
      <w:r>
        <w:t xml:space="preserve">A state-of-the-art professional education for prospective and current teachers that reflect international and national best practices. </w:t>
      </w:r>
    </w:p>
    <w:p w14:paraId="349E9014" w14:textId="77777777" w:rsidR="00F41C81" w:rsidRDefault="002628B6">
      <w:pPr>
        <w:numPr>
          <w:ilvl w:val="0"/>
          <w:numId w:val="3"/>
        </w:numPr>
      </w:pPr>
      <w:r>
        <w:t>A peer assi</w:t>
      </w:r>
      <w:r>
        <w:t>stance and review program, and that also incorporates a career ladder system.</w:t>
      </w:r>
    </w:p>
    <w:p w14:paraId="420A1942" w14:textId="77777777" w:rsidR="00F41C81" w:rsidRDefault="002628B6">
      <w:pPr>
        <w:rPr>
          <w:i/>
        </w:rPr>
      </w:pPr>
      <w:r>
        <w:rPr>
          <w:i/>
        </w:rPr>
        <w:t>(See pages 2-4 of the RFP “Required Components” for details.)</w:t>
      </w:r>
    </w:p>
    <w:p w14:paraId="1877CDD6" w14:textId="77777777" w:rsidR="00F41C81" w:rsidRDefault="00F41C81"/>
    <w:p w14:paraId="4720463C" w14:textId="77777777" w:rsidR="00F41C81" w:rsidRDefault="002628B6">
      <w:r>
        <w:t>A grantee may find the need to propose a change that deviates from what was included in the approved proposal. If a</w:t>
      </w:r>
      <w:r>
        <w:t xml:space="preserve">n amendment is needed, the grantee must submit a formal program amendment and/or budget amendment request to the MSDE. </w:t>
      </w:r>
    </w:p>
    <w:p w14:paraId="3C334E2E" w14:textId="77777777" w:rsidR="00F41C81" w:rsidRDefault="00F41C81"/>
    <w:p w14:paraId="174B0125" w14:textId="77777777" w:rsidR="00F41C81" w:rsidRDefault="002628B6">
      <w:r>
        <w:rPr>
          <w:b/>
        </w:rPr>
        <w:t>Budget amendment</w:t>
      </w:r>
      <w:r>
        <w:t xml:space="preserve"> requests must be submitted by using the approved MSDE C-1-25 excel spreadsheet along with all applicable supportive do</w:t>
      </w:r>
      <w:r>
        <w:t xml:space="preserve">cumentation justifying the request and any other information required by the MSDE. </w:t>
      </w:r>
    </w:p>
    <w:p w14:paraId="3377B864" w14:textId="77777777" w:rsidR="00F41C81" w:rsidRDefault="00F41C81"/>
    <w:p w14:paraId="12E9A6E7" w14:textId="77777777" w:rsidR="00F41C81" w:rsidRDefault="002628B6">
      <w:r>
        <w:rPr>
          <w:b/>
        </w:rPr>
        <w:t xml:space="preserve">Program amendment </w:t>
      </w:r>
      <w:r>
        <w:t xml:space="preserve">requests should contain the following information and be assembled in the order indicated below: </w:t>
      </w:r>
    </w:p>
    <w:p w14:paraId="28B4A5D7" w14:textId="77777777" w:rsidR="00F41C81" w:rsidRDefault="00F41C81"/>
    <w:p w14:paraId="354AEC3E" w14:textId="77777777" w:rsidR="00F41C81" w:rsidRDefault="002628B6">
      <w:pPr>
        <w:numPr>
          <w:ilvl w:val="0"/>
          <w:numId w:val="2"/>
        </w:numPr>
      </w:pPr>
      <w:r>
        <w:t>Cover Sheet (as included in the approved proposal)</w:t>
      </w:r>
    </w:p>
    <w:p w14:paraId="1655D6C6" w14:textId="77777777" w:rsidR="00F41C81" w:rsidRDefault="002628B6">
      <w:pPr>
        <w:numPr>
          <w:ilvl w:val="0"/>
          <w:numId w:val="2"/>
        </w:numPr>
      </w:pPr>
      <w:r>
        <w:t>Pro</w:t>
      </w:r>
      <w:r>
        <w:t xml:space="preserve">gram Amendment Narrative    </w:t>
      </w:r>
    </w:p>
    <w:p w14:paraId="761D3202" w14:textId="77777777" w:rsidR="00F41C81" w:rsidRDefault="002628B6">
      <w:pPr>
        <w:numPr>
          <w:ilvl w:val="0"/>
          <w:numId w:val="4"/>
        </w:numPr>
      </w:pPr>
      <w:r>
        <w:t>Clear and concise description of project changes required to accomplish the outcomes of the approved grant program;</w:t>
      </w:r>
    </w:p>
    <w:p w14:paraId="59146CE3" w14:textId="77777777" w:rsidR="00F41C81" w:rsidRDefault="002628B6">
      <w:pPr>
        <w:numPr>
          <w:ilvl w:val="0"/>
          <w:numId w:val="4"/>
        </w:numPr>
      </w:pPr>
      <w:r>
        <w:t>Amended plan of operation;</w:t>
      </w:r>
    </w:p>
    <w:p w14:paraId="7FA22B89" w14:textId="77777777" w:rsidR="00F41C81" w:rsidRDefault="002628B6">
      <w:pPr>
        <w:numPr>
          <w:ilvl w:val="0"/>
          <w:numId w:val="4"/>
        </w:numPr>
      </w:pPr>
      <w:r>
        <w:t>Amended management plan worksheet, if applicable;</w:t>
      </w:r>
    </w:p>
    <w:p w14:paraId="0B6D1644" w14:textId="77777777" w:rsidR="00F41C81" w:rsidRDefault="002628B6">
      <w:pPr>
        <w:numPr>
          <w:ilvl w:val="0"/>
          <w:numId w:val="4"/>
        </w:numPr>
      </w:pPr>
      <w:r>
        <w:t>Amended project timeline, if appli</w:t>
      </w:r>
      <w:r>
        <w:t>cable; and</w:t>
      </w:r>
    </w:p>
    <w:p w14:paraId="72FBECF7" w14:textId="77777777" w:rsidR="00F41C81" w:rsidRDefault="002628B6">
      <w:pPr>
        <w:numPr>
          <w:ilvl w:val="0"/>
          <w:numId w:val="4"/>
        </w:numPr>
      </w:pPr>
      <w:r>
        <w:t>Any other relevant information required to justify the amendment.</w:t>
      </w:r>
    </w:p>
    <w:p w14:paraId="45BEBDC3" w14:textId="77777777" w:rsidR="00F41C81" w:rsidRDefault="00F41C81"/>
    <w:p w14:paraId="4182A966" w14:textId="77777777" w:rsidR="00F41C81" w:rsidRDefault="002628B6">
      <w:pPr>
        <w:numPr>
          <w:ilvl w:val="0"/>
          <w:numId w:val="5"/>
        </w:numPr>
      </w:pPr>
      <w:r>
        <w:t xml:space="preserve">Appendices </w:t>
      </w:r>
    </w:p>
    <w:p w14:paraId="4CA97370" w14:textId="77777777" w:rsidR="00F41C81" w:rsidRDefault="002628B6">
      <w:pPr>
        <w:numPr>
          <w:ilvl w:val="0"/>
          <w:numId w:val="4"/>
        </w:numPr>
      </w:pPr>
      <w:r>
        <w:t>Work-cited</w:t>
      </w:r>
    </w:p>
    <w:p w14:paraId="1BBE712C" w14:textId="77777777" w:rsidR="00F41C81" w:rsidRDefault="002628B6">
      <w:pPr>
        <w:numPr>
          <w:ilvl w:val="0"/>
          <w:numId w:val="4"/>
        </w:numPr>
      </w:pPr>
      <w:r>
        <w:t>Letters of Commitment, if applicable</w:t>
      </w:r>
    </w:p>
    <w:p w14:paraId="74086485" w14:textId="77777777" w:rsidR="00F41C81" w:rsidRDefault="002628B6">
      <w:pPr>
        <w:numPr>
          <w:ilvl w:val="0"/>
          <w:numId w:val="4"/>
        </w:numPr>
      </w:pPr>
      <w:r>
        <w:t>Resumes and Job Description of new key personnel, if applicable</w:t>
      </w:r>
    </w:p>
    <w:p w14:paraId="010543B9" w14:textId="77777777" w:rsidR="00F41C81" w:rsidRDefault="00F41C81">
      <w:pPr>
        <w:ind w:left="1440"/>
      </w:pPr>
    </w:p>
    <w:p w14:paraId="4203B7FF" w14:textId="77777777" w:rsidR="00F41C81" w:rsidRDefault="002628B6">
      <w:pPr>
        <w:numPr>
          <w:ilvl w:val="0"/>
          <w:numId w:val="5"/>
        </w:numPr>
      </w:pPr>
      <w:r>
        <w:t>Format</w:t>
      </w:r>
    </w:p>
    <w:p w14:paraId="23B6766D" w14:textId="77777777" w:rsidR="00F41C81" w:rsidRDefault="002628B6">
      <w:pPr>
        <w:numPr>
          <w:ilvl w:val="0"/>
          <w:numId w:val="4"/>
        </w:numPr>
      </w:pPr>
      <w:r>
        <w:t>Times New Roman;</w:t>
      </w:r>
    </w:p>
    <w:p w14:paraId="29E9E8CC" w14:textId="77777777" w:rsidR="00F41C81" w:rsidRDefault="002628B6">
      <w:pPr>
        <w:numPr>
          <w:ilvl w:val="0"/>
          <w:numId w:val="4"/>
        </w:numPr>
      </w:pPr>
      <w:proofErr w:type="gramStart"/>
      <w:r>
        <w:t>12 point</w:t>
      </w:r>
      <w:proofErr w:type="gramEnd"/>
      <w:r>
        <w:t xml:space="preserve"> font;</w:t>
      </w:r>
    </w:p>
    <w:p w14:paraId="0D94B29A" w14:textId="77777777" w:rsidR="00F41C81" w:rsidRDefault="002628B6">
      <w:pPr>
        <w:numPr>
          <w:ilvl w:val="0"/>
          <w:numId w:val="4"/>
        </w:numPr>
      </w:pPr>
      <w:r>
        <w:t>Double spaced;</w:t>
      </w:r>
    </w:p>
    <w:p w14:paraId="1C948548" w14:textId="77777777" w:rsidR="00F41C81" w:rsidRDefault="002628B6">
      <w:pPr>
        <w:numPr>
          <w:ilvl w:val="0"/>
          <w:numId w:val="4"/>
        </w:numPr>
      </w:pPr>
      <w:r>
        <w:lastRenderedPageBreak/>
        <w:t>All pages must be one-inch margins and be numbered;</w:t>
      </w:r>
    </w:p>
    <w:p w14:paraId="08C9CBA3" w14:textId="77777777" w:rsidR="00F41C81" w:rsidRDefault="002628B6">
      <w:pPr>
        <w:numPr>
          <w:ilvl w:val="0"/>
          <w:numId w:val="4"/>
        </w:numPr>
      </w:pPr>
      <w:r>
        <w:t>The original cover sheet must be signed in blue ink; and</w:t>
      </w:r>
    </w:p>
    <w:p w14:paraId="4095F3B2" w14:textId="77777777" w:rsidR="00F41C81" w:rsidRDefault="002628B6">
      <w:pPr>
        <w:numPr>
          <w:ilvl w:val="0"/>
          <w:numId w:val="4"/>
        </w:numPr>
      </w:pPr>
      <w:r>
        <w:t>All supporting documentation</w:t>
      </w:r>
      <w:r>
        <w:t xml:space="preserve"> must be embedded to align with the corresponding amendment. </w:t>
      </w:r>
    </w:p>
    <w:p w14:paraId="53B2D871" w14:textId="77777777" w:rsidR="00F41C81" w:rsidRDefault="00F41C81"/>
    <w:p w14:paraId="0F264CA8" w14:textId="77777777" w:rsidR="00F41C81" w:rsidRDefault="002628B6">
      <w:r>
        <w:t>The MSDE will review the amendment request by evaluating the extent to which the proposed changes are justified in order for the grantees to meet the program’s approved goals and objectives. Am</w:t>
      </w:r>
      <w:r>
        <w:t>endment requests that are inconsistent with the priorities of the Teacher Collaborative Grant program or that are not aligned with the purpose of the grant will not be approved. Amendment requests will be reviewed by the review committee and will be evalua</w:t>
      </w:r>
      <w:r>
        <w:t xml:space="preserve">ted using The Amendment Review Form </w:t>
      </w:r>
      <w:r>
        <w:rPr>
          <w:i/>
        </w:rPr>
        <w:t>(see attached)</w:t>
      </w:r>
      <w:r>
        <w:t xml:space="preserve">. </w:t>
      </w:r>
    </w:p>
    <w:p w14:paraId="4B578832" w14:textId="77777777" w:rsidR="00F41C81" w:rsidRDefault="002628B6">
      <w:r>
        <w:t xml:space="preserve"> </w:t>
      </w:r>
    </w:p>
    <w:p w14:paraId="7810C4B8" w14:textId="77777777" w:rsidR="00F41C81" w:rsidRDefault="002628B6">
      <w:r>
        <w:t>The MSDE will make every effort to review the request and respond in a timely fashion. In cases where a decision cannot be made without more information or clarification from the grantee, decision time</w:t>
      </w:r>
      <w:r>
        <w:t>lines will be adjusted on a case-by-case basis.</w:t>
      </w:r>
    </w:p>
    <w:p w14:paraId="3657CFE3" w14:textId="77777777" w:rsidR="00F41C81" w:rsidRDefault="002628B6">
      <w:r>
        <w:t xml:space="preserve"> </w:t>
      </w:r>
    </w:p>
    <w:p w14:paraId="61CF19D8" w14:textId="77777777" w:rsidR="00F41C81" w:rsidRDefault="002628B6">
      <w:r>
        <w:br w:type="page"/>
      </w:r>
    </w:p>
    <w:p w14:paraId="611F6043" w14:textId="77777777" w:rsidR="00F41C81" w:rsidRDefault="002628B6">
      <w:pPr>
        <w:spacing w:line="240" w:lineRule="auto"/>
        <w:jc w:val="center"/>
        <w:rPr>
          <w:b/>
          <w:sz w:val="24"/>
          <w:szCs w:val="24"/>
          <w:u w:val="single"/>
        </w:rPr>
      </w:pPr>
      <w:r>
        <w:rPr>
          <w:b/>
          <w:sz w:val="24"/>
          <w:szCs w:val="24"/>
          <w:u w:val="single"/>
        </w:rPr>
        <w:lastRenderedPageBreak/>
        <w:t>Teacher Collaborative Grant</w:t>
      </w:r>
    </w:p>
    <w:p w14:paraId="0BBCE0A8" w14:textId="77777777" w:rsidR="00F41C81" w:rsidRDefault="002628B6">
      <w:pPr>
        <w:spacing w:line="240" w:lineRule="auto"/>
        <w:jc w:val="center"/>
        <w:rPr>
          <w:b/>
          <w:sz w:val="24"/>
          <w:szCs w:val="24"/>
        </w:rPr>
      </w:pPr>
      <w:r>
        <w:rPr>
          <w:b/>
          <w:sz w:val="24"/>
          <w:szCs w:val="24"/>
        </w:rPr>
        <w:t>Program Amendment Review Form</w:t>
      </w:r>
    </w:p>
    <w:p w14:paraId="6803393D" w14:textId="77777777" w:rsidR="00F41C81" w:rsidRDefault="00F41C81">
      <w:pPr>
        <w:spacing w:line="240" w:lineRule="auto"/>
        <w:jc w:val="center"/>
        <w:rPr>
          <w:b/>
          <w:sz w:val="24"/>
          <w:szCs w:val="24"/>
        </w:rPr>
      </w:pPr>
    </w:p>
    <w:tbl>
      <w:tblPr>
        <w:tblStyle w:val="a"/>
        <w:tblW w:w="10620" w:type="dxa"/>
        <w:tblInd w:w="-545" w:type="dxa"/>
        <w:tblLayout w:type="fixed"/>
        <w:tblLook w:val="0400" w:firstRow="0" w:lastRow="0" w:firstColumn="0" w:lastColumn="0" w:noHBand="0" w:noVBand="1"/>
      </w:tblPr>
      <w:tblGrid>
        <w:gridCol w:w="3600"/>
        <w:gridCol w:w="7020"/>
      </w:tblGrid>
      <w:tr w:rsidR="00F41C81" w14:paraId="6BDEAA78" w14:textId="77777777" w:rsidTr="002628B6">
        <w:trPr>
          <w:trHeight w:val="340"/>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7B971" w14:textId="77777777" w:rsidR="00F41C81" w:rsidRDefault="002628B6">
            <w:pPr>
              <w:spacing w:line="240" w:lineRule="auto"/>
              <w:rPr>
                <w:sz w:val="24"/>
                <w:szCs w:val="24"/>
              </w:rPr>
            </w:pPr>
            <w:r>
              <w:rPr>
                <w:sz w:val="24"/>
                <w:szCs w:val="24"/>
              </w:rPr>
              <w:t>Program name:</w:t>
            </w:r>
          </w:p>
        </w:tc>
        <w:tc>
          <w:tcPr>
            <w:tcW w:w="7020" w:type="dxa"/>
            <w:tcBorders>
              <w:top w:val="single" w:sz="4" w:space="0" w:color="000000"/>
              <w:left w:val="nil"/>
              <w:bottom w:val="single" w:sz="4" w:space="0" w:color="000000"/>
              <w:right w:val="single" w:sz="4" w:space="0" w:color="000000"/>
            </w:tcBorders>
            <w:shd w:val="clear" w:color="auto" w:fill="auto"/>
            <w:vAlign w:val="bottom"/>
          </w:tcPr>
          <w:p w14:paraId="49520D8D"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r w:rsidR="00F41C81" w14:paraId="7140E5B2" w14:textId="77777777" w:rsidTr="002628B6">
        <w:trPr>
          <w:trHeight w:val="340"/>
        </w:trPr>
        <w:tc>
          <w:tcPr>
            <w:tcW w:w="3600" w:type="dxa"/>
            <w:tcBorders>
              <w:top w:val="nil"/>
              <w:left w:val="single" w:sz="4" w:space="0" w:color="000000"/>
              <w:bottom w:val="single" w:sz="4" w:space="0" w:color="000000"/>
              <w:right w:val="single" w:sz="4" w:space="0" w:color="000000"/>
            </w:tcBorders>
            <w:shd w:val="clear" w:color="auto" w:fill="auto"/>
            <w:vAlign w:val="center"/>
          </w:tcPr>
          <w:p w14:paraId="583EAC09" w14:textId="77777777" w:rsidR="00F41C81" w:rsidRDefault="002628B6">
            <w:pPr>
              <w:spacing w:line="240" w:lineRule="auto"/>
              <w:rPr>
                <w:sz w:val="24"/>
                <w:szCs w:val="24"/>
              </w:rPr>
            </w:pPr>
            <w:r>
              <w:rPr>
                <w:sz w:val="24"/>
                <w:szCs w:val="24"/>
              </w:rPr>
              <w:t>Review Committee Members:</w:t>
            </w:r>
          </w:p>
        </w:tc>
        <w:tc>
          <w:tcPr>
            <w:tcW w:w="7020" w:type="dxa"/>
            <w:tcBorders>
              <w:top w:val="nil"/>
              <w:left w:val="nil"/>
              <w:bottom w:val="single" w:sz="4" w:space="0" w:color="000000"/>
              <w:right w:val="single" w:sz="4" w:space="0" w:color="000000"/>
            </w:tcBorders>
            <w:shd w:val="clear" w:color="auto" w:fill="auto"/>
            <w:vAlign w:val="bottom"/>
          </w:tcPr>
          <w:p w14:paraId="775ACB94"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r w:rsidR="00F41C81" w14:paraId="52A0EC6D" w14:textId="77777777" w:rsidTr="002628B6">
        <w:trPr>
          <w:trHeight w:val="340"/>
        </w:trPr>
        <w:tc>
          <w:tcPr>
            <w:tcW w:w="3600" w:type="dxa"/>
            <w:tcBorders>
              <w:top w:val="nil"/>
              <w:left w:val="single" w:sz="4" w:space="0" w:color="000000"/>
              <w:bottom w:val="single" w:sz="4" w:space="0" w:color="000000"/>
              <w:right w:val="single" w:sz="4" w:space="0" w:color="000000"/>
            </w:tcBorders>
            <w:shd w:val="clear" w:color="auto" w:fill="auto"/>
            <w:vAlign w:val="center"/>
          </w:tcPr>
          <w:p w14:paraId="61B8E475" w14:textId="77777777" w:rsidR="00F41C81" w:rsidRDefault="002628B6">
            <w:pPr>
              <w:spacing w:line="240" w:lineRule="auto"/>
              <w:rPr>
                <w:sz w:val="24"/>
                <w:szCs w:val="24"/>
              </w:rPr>
            </w:pPr>
            <w:r>
              <w:rPr>
                <w:sz w:val="24"/>
                <w:szCs w:val="24"/>
              </w:rPr>
              <w:t>Date of Review:</w:t>
            </w:r>
          </w:p>
        </w:tc>
        <w:tc>
          <w:tcPr>
            <w:tcW w:w="7020" w:type="dxa"/>
            <w:tcBorders>
              <w:top w:val="nil"/>
              <w:left w:val="nil"/>
              <w:bottom w:val="single" w:sz="4" w:space="0" w:color="000000"/>
              <w:right w:val="single" w:sz="4" w:space="0" w:color="000000"/>
            </w:tcBorders>
            <w:shd w:val="clear" w:color="auto" w:fill="auto"/>
            <w:vAlign w:val="bottom"/>
          </w:tcPr>
          <w:p w14:paraId="0D215405"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bl>
    <w:p w14:paraId="029AFCAD" w14:textId="77777777" w:rsidR="00F41C81" w:rsidRDefault="00F41C81">
      <w:pPr>
        <w:spacing w:line="240" w:lineRule="auto"/>
        <w:rPr>
          <w:b/>
          <w:sz w:val="24"/>
          <w:szCs w:val="24"/>
        </w:rPr>
      </w:pPr>
    </w:p>
    <w:p w14:paraId="0EDC1B9E" w14:textId="77777777" w:rsidR="00F41C81" w:rsidRDefault="00F41C81">
      <w:pPr>
        <w:spacing w:line="240" w:lineRule="auto"/>
        <w:rPr>
          <w:b/>
          <w:sz w:val="24"/>
          <w:szCs w:val="24"/>
        </w:rPr>
      </w:pPr>
    </w:p>
    <w:p w14:paraId="2D1C3AAB" w14:textId="77777777" w:rsidR="00F41C81" w:rsidRDefault="002628B6">
      <w:pPr>
        <w:spacing w:line="240" w:lineRule="auto"/>
        <w:rPr>
          <w:b/>
          <w:sz w:val="24"/>
          <w:szCs w:val="24"/>
        </w:rPr>
      </w:pPr>
      <w:r>
        <w:rPr>
          <w:b/>
          <w:sz w:val="24"/>
          <w:szCs w:val="24"/>
        </w:rPr>
        <w:t>The Teacher Collaborative Grant Funding Priorities</w:t>
      </w:r>
    </w:p>
    <w:p w14:paraId="2F037A6E" w14:textId="77777777" w:rsidR="00F41C81" w:rsidRDefault="002628B6">
      <w:r>
        <w:t>The Teacher Collaborative Grant Program was developed based upon the recommendations of the Kirwan Commission, and awards grants to teacher collaboratives to develop and implement at least two of the follo</w:t>
      </w:r>
      <w:r>
        <w:t xml:space="preserve">wing: </w:t>
      </w:r>
    </w:p>
    <w:p w14:paraId="337C8C4D" w14:textId="77777777" w:rsidR="00F41C81" w:rsidRDefault="00F41C81"/>
    <w:p w14:paraId="4C1F449B" w14:textId="77777777" w:rsidR="00F41C81" w:rsidRDefault="002628B6">
      <w:pPr>
        <w:numPr>
          <w:ilvl w:val="0"/>
          <w:numId w:val="1"/>
        </w:numPr>
      </w:pPr>
      <w:r>
        <w:t>A 21st-century practicum design for teacher candidates to gain teaching experience in the classroom, and that also incorporates a career ladder system.</w:t>
      </w:r>
    </w:p>
    <w:p w14:paraId="6697D7F5" w14:textId="77777777" w:rsidR="00F41C81" w:rsidRDefault="002628B6">
      <w:pPr>
        <w:numPr>
          <w:ilvl w:val="0"/>
          <w:numId w:val="1"/>
        </w:numPr>
      </w:pPr>
      <w:r>
        <w:t>A state-of-the-art professional education for prospective and current teachers that reflect inte</w:t>
      </w:r>
      <w:r>
        <w:t xml:space="preserve">rnational and national best practices. </w:t>
      </w:r>
    </w:p>
    <w:p w14:paraId="6A44B030" w14:textId="77777777" w:rsidR="00F41C81" w:rsidRDefault="002628B6">
      <w:pPr>
        <w:numPr>
          <w:ilvl w:val="0"/>
          <w:numId w:val="1"/>
        </w:numPr>
      </w:pPr>
      <w:r>
        <w:t>A peer assistance and review program, and that also incorporates a career ladder system.</w:t>
      </w:r>
    </w:p>
    <w:p w14:paraId="682807A3" w14:textId="77777777" w:rsidR="00F41C81" w:rsidRDefault="002628B6">
      <w:pPr>
        <w:rPr>
          <w:sz w:val="24"/>
          <w:szCs w:val="24"/>
        </w:rPr>
      </w:pPr>
      <w:r>
        <w:rPr>
          <w:i/>
        </w:rPr>
        <w:t>(See pages 2-4 of the RFP “Required Components” for details.)</w:t>
      </w:r>
    </w:p>
    <w:p w14:paraId="62B9EF20" w14:textId="77777777" w:rsidR="00F41C81" w:rsidRDefault="00F41C81">
      <w:pPr>
        <w:spacing w:line="240" w:lineRule="auto"/>
        <w:rPr>
          <w:sz w:val="24"/>
          <w:szCs w:val="24"/>
        </w:rPr>
      </w:pPr>
    </w:p>
    <w:p w14:paraId="12178295" w14:textId="77777777" w:rsidR="00F41C81" w:rsidRDefault="00F41C81">
      <w:pPr>
        <w:spacing w:line="240" w:lineRule="auto"/>
        <w:rPr>
          <w:sz w:val="24"/>
          <w:szCs w:val="24"/>
        </w:rPr>
      </w:pPr>
    </w:p>
    <w:tbl>
      <w:tblPr>
        <w:tblStyle w:val="a0"/>
        <w:tblW w:w="10700" w:type="dxa"/>
        <w:tblInd w:w="-674" w:type="dxa"/>
        <w:tblLayout w:type="fixed"/>
        <w:tblLook w:val="0400" w:firstRow="0" w:lastRow="0" w:firstColumn="0" w:lastColumn="0" w:noHBand="0" w:noVBand="1"/>
      </w:tblPr>
      <w:tblGrid>
        <w:gridCol w:w="4280"/>
        <w:gridCol w:w="6420"/>
      </w:tblGrid>
      <w:tr w:rsidR="00F41C81" w14:paraId="2212D94D" w14:textId="77777777">
        <w:trPr>
          <w:trHeight w:val="340"/>
        </w:trPr>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4D72" w14:textId="77777777" w:rsidR="00F41C81" w:rsidRDefault="002628B6">
            <w:pPr>
              <w:spacing w:line="240" w:lineRule="auto"/>
              <w:rPr>
                <w:sz w:val="24"/>
                <w:szCs w:val="24"/>
              </w:rPr>
            </w:pPr>
            <w:r>
              <w:rPr>
                <w:sz w:val="24"/>
                <w:szCs w:val="24"/>
              </w:rPr>
              <w:t>Program amendment:</w:t>
            </w:r>
          </w:p>
        </w:tc>
        <w:tc>
          <w:tcPr>
            <w:tcW w:w="6420" w:type="dxa"/>
            <w:tcBorders>
              <w:top w:val="single" w:sz="4" w:space="0" w:color="000000"/>
              <w:left w:val="nil"/>
              <w:bottom w:val="single" w:sz="4" w:space="0" w:color="000000"/>
              <w:right w:val="single" w:sz="4" w:space="0" w:color="000000"/>
            </w:tcBorders>
            <w:shd w:val="clear" w:color="auto" w:fill="auto"/>
            <w:vAlign w:val="bottom"/>
          </w:tcPr>
          <w:p w14:paraId="391CD48C"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r w:rsidR="00F41C81" w14:paraId="53C2D0B8" w14:textId="77777777">
        <w:trPr>
          <w:trHeight w:val="680"/>
        </w:trPr>
        <w:tc>
          <w:tcPr>
            <w:tcW w:w="4280" w:type="dxa"/>
            <w:tcBorders>
              <w:top w:val="nil"/>
              <w:left w:val="single" w:sz="4" w:space="0" w:color="000000"/>
              <w:bottom w:val="single" w:sz="4" w:space="0" w:color="000000"/>
              <w:right w:val="single" w:sz="4" w:space="0" w:color="000000"/>
            </w:tcBorders>
            <w:shd w:val="clear" w:color="auto" w:fill="auto"/>
            <w:vAlign w:val="center"/>
          </w:tcPr>
          <w:p w14:paraId="48271BAA" w14:textId="77777777" w:rsidR="00F41C81" w:rsidRDefault="002628B6">
            <w:pPr>
              <w:spacing w:line="240" w:lineRule="auto"/>
              <w:rPr>
                <w:sz w:val="24"/>
                <w:szCs w:val="24"/>
              </w:rPr>
            </w:pPr>
            <w:r>
              <w:rPr>
                <w:sz w:val="24"/>
                <w:szCs w:val="24"/>
              </w:rPr>
              <w:t>What priority does this amendment serve?</w:t>
            </w:r>
          </w:p>
        </w:tc>
        <w:tc>
          <w:tcPr>
            <w:tcW w:w="6420" w:type="dxa"/>
            <w:tcBorders>
              <w:top w:val="nil"/>
              <w:left w:val="nil"/>
              <w:bottom w:val="single" w:sz="4" w:space="0" w:color="000000"/>
              <w:right w:val="single" w:sz="4" w:space="0" w:color="000000"/>
            </w:tcBorders>
            <w:shd w:val="clear" w:color="auto" w:fill="auto"/>
            <w:vAlign w:val="bottom"/>
          </w:tcPr>
          <w:p w14:paraId="1F5D278B"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r w:rsidR="00F41C81" w14:paraId="6160A31C" w14:textId="77777777">
        <w:trPr>
          <w:trHeight w:val="680"/>
        </w:trPr>
        <w:tc>
          <w:tcPr>
            <w:tcW w:w="4280" w:type="dxa"/>
            <w:tcBorders>
              <w:top w:val="nil"/>
              <w:left w:val="single" w:sz="4" w:space="0" w:color="000000"/>
              <w:bottom w:val="single" w:sz="4" w:space="0" w:color="000000"/>
              <w:right w:val="single" w:sz="4" w:space="0" w:color="000000"/>
            </w:tcBorders>
            <w:shd w:val="clear" w:color="auto" w:fill="auto"/>
            <w:vAlign w:val="center"/>
          </w:tcPr>
          <w:p w14:paraId="73CDF8C9" w14:textId="77777777" w:rsidR="00F41C81" w:rsidRDefault="002628B6">
            <w:pPr>
              <w:spacing w:line="240" w:lineRule="auto"/>
              <w:rPr>
                <w:sz w:val="24"/>
                <w:szCs w:val="24"/>
              </w:rPr>
            </w:pPr>
            <w:r>
              <w:rPr>
                <w:sz w:val="24"/>
                <w:szCs w:val="24"/>
              </w:rPr>
              <w:t>Has this amendment been adequately justified?</w:t>
            </w:r>
          </w:p>
        </w:tc>
        <w:tc>
          <w:tcPr>
            <w:tcW w:w="6420" w:type="dxa"/>
            <w:tcBorders>
              <w:top w:val="nil"/>
              <w:left w:val="nil"/>
              <w:bottom w:val="single" w:sz="4" w:space="0" w:color="000000"/>
              <w:right w:val="single" w:sz="4" w:space="0" w:color="000000"/>
            </w:tcBorders>
            <w:shd w:val="clear" w:color="auto" w:fill="auto"/>
            <w:vAlign w:val="bottom"/>
          </w:tcPr>
          <w:p w14:paraId="3FCE1DF9"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r w:rsidR="00F41C81" w14:paraId="58647049" w14:textId="77777777">
        <w:trPr>
          <w:trHeight w:val="680"/>
        </w:trPr>
        <w:tc>
          <w:tcPr>
            <w:tcW w:w="4280" w:type="dxa"/>
            <w:tcBorders>
              <w:top w:val="nil"/>
              <w:left w:val="single" w:sz="4" w:space="0" w:color="000000"/>
              <w:bottom w:val="single" w:sz="4" w:space="0" w:color="000000"/>
              <w:right w:val="single" w:sz="4" w:space="0" w:color="000000"/>
            </w:tcBorders>
            <w:shd w:val="clear" w:color="auto" w:fill="auto"/>
            <w:vAlign w:val="center"/>
          </w:tcPr>
          <w:p w14:paraId="535E5837" w14:textId="77777777" w:rsidR="00F41C81" w:rsidRDefault="002628B6">
            <w:pPr>
              <w:spacing w:line="240" w:lineRule="auto"/>
              <w:rPr>
                <w:sz w:val="24"/>
                <w:szCs w:val="24"/>
              </w:rPr>
            </w:pPr>
            <w:r>
              <w:rPr>
                <w:sz w:val="24"/>
                <w:szCs w:val="24"/>
              </w:rPr>
              <w:t>Is any clarification needed? If so, explain:</w:t>
            </w:r>
          </w:p>
        </w:tc>
        <w:tc>
          <w:tcPr>
            <w:tcW w:w="6420" w:type="dxa"/>
            <w:tcBorders>
              <w:top w:val="nil"/>
              <w:left w:val="nil"/>
              <w:bottom w:val="single" w:sz="4" w:space="0" w:color="000000"/>
              <w:right w:val="single" w:sz="4" w:space="0" w:color="000000"/>
            </w:tcBorders>
            <w:shd w:val="clear" w:color="auto" w:fill="auto"/>
            <w:vAlign w:val="bottom"/>
          </w:tcPr>
          <w:p w14:paraId="656B1729"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bl>
    <w:p w14:paraId="20348C0B" w14:textId="740E629D" w:rsidR="00F41C81" w:rsidRDefault="00F41C81">
      <w:pPr>
        <w:spacing w:line="240" w:lineRule="auto"/>
        <w:rPr>
          <w:sz w:val="24"/>
          <w:szCs w:val="24"/>
        </w:rPr>
      </w:pPr>
    </w:p>
    <w:p w14:paraId="66EA1386" w14:textId="77777777" w:rsidR="002628B6" w:rsidRDefault="002628B6">
      <w:pPr>
        <w:spacing w:line="240" w:lineRule="auto"/>
        <w:rPr>
          <w:sz w:val="24"/>
          <w:szCs w:val="24"/>
        </w:rPr>
      </w:pPr>
    </w:p>
    <w:tbl>
      <w:tblPr>
        <w:tblStyle w:val="a1"/>
        <w:tblW w:w="10700" w:type="dxa"/>
        <w:tblInd w:w="-674" w:type="dxa"/>
        <w:tblLayout w:type="fixed"/>
        <w:tblLook w:val="0400" w:firstRow="0" w:lastRow="0" w:firstColumn="0" w:lastColumn="0" w:noHBand="0" w:noVBand="1"/>
      </w:tblPr>
      <w:tblGrid>
        <w:gridCol w:w="4280"/>
        <w:gridCol w:w="6420"/>
      </w:tblGrid>
      <w:tr w:rsidR="00F41C81" w14:paraId="2AF96F40" w14:textId="77777777">
        <w:trPr>
          <w:trHeight w:val="340"/>
        </w:trPr>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4E93" w14:textId="77777777" w:rsidR="00F41C81" w:rsidRDefault="002628B6">
            <w:pPr>
              <w:spacing w:line="240" w:lineRule="auto"/>
              <w:rPr>
                <w:sz w:val="24"/>
                <w:szCs w:val="24"/>
              </w:rPr>
            </w:pPr>
            <w:r>
              <w:rPr>
                <w:sz w:val="24"/>
                <w:szCs w:val="24"/>
              </w:rPr>
              <w:t>Program amendment:</w:t>
            </w:r>
          </w:p>
        </w:tc>
        <w:tc>
          <w:tcPr>
            <w:tcW w:w="6420" w:type="dxa"/>
            <w:tcBorders>
              <w:top w:val="single" w:sz="4" w:space="0" w:color="000000"/>
              <w:left w:val="nil"/>
              <w:bottom w:val="single" w:sz="4" w:space="0" w:color="000000"/>
              <w:right w:val="single" w:sz="4" w:space="0" w:color="000000"/>
            </w:tcBorders>
            <w:shd w:val="clear" w:color="auto" w:fill="auto"/>
            <w:vAlign w:val="bottom"/>
          </w:tcPr>
          <w:p w14:paraId="1CEC294F"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r w:rsidR="00F41C81" w14:paraId="4D4ADFAE" w14:textId="77777777">
        <w:trPr>
          <w:trHeight w:val="680"/>
        </w:trPr>
        <w:tc>
          <w:tcPr>
            <w:tcW w:w="4280" w:type="dxa"/>
            <w:tcBorders>
              <w:top w:val="nil"/>
              <w:left w:val="single" w:sz="4" w:space="0" w:color="000000"/>
              <w:bottom w:val="single" w:sz="4" w:space="0" w:color="000000"/>
              <w:right w:val="single" w:sz="4" w:space="0" w:color="000000"/>
            </w:tcBorders>
            <w:shd w:val="clear" w:color="auto" w:fill="auto"/>
            <w:vAlign w:val="center"/>
          </w:tcPr>
          <w:p w14:paraId="3E2DC2E4" w14:textId="77777777" w:rsidR="00F41C81" w:rsidRDefault="002628B6">
            <w:pPr>
              <w:spacing w:line="240" w:lineRule="auto"/>
              <w:rPr>
                <w:sz w:val="24"/>
                <w:szCs w:val="24"/>
              </w:rPr>
            </w:pPr>
            <w:r>
              <w:rPr>
                <w:sz w:val="24"/>
                <w:szCs w:val="24"/>
              </w:rPr>
              <w:t>What priority does this amendment serve?</w:t>
            </w:r>
          </w:p>
        </w:tc>
        <w:tc>
          <w:tcPr>
            <w:tcW w:w="6420" w:type="dxa"/>
            <w:tcBorders>
              <w:top w:val="nil"/>
              <w:left w:val="nil"/>
              <w:bottom w:val="single" w:sz="4" w:space="0" w:color="000000"/>
              <w:right w:val="single" w:sz="4" w:space="0" w:color="000000"/>
            </w:tcBorders>
            <w:shd w:val="clear" w:color="auto" w:fill="auto"/>
            <w:vAlign w:val="bottom"/>
          </w:tcPr>
          <w:p w14:paraId="7C9A7A18"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r w:rsidR="00F41C81" w14:paraId="103F9DB0" w14:textId="77777777">
        <w:trPr>
          <w:trHeight w:val="680"/>
        </w:trPr>
        <w:tc>
          <w:tcPr>
            <w:tcW w:w="4280" w:type="dxa"/>
            <w:tcBorders>
              <w:top w:val="nil"/>
              <w:left w:val="single" w:sz="4" w:space="0" w:color="000000"/>
              <w:bottom w:val="single" w:sz="4" w:space="0" w:color="000000"/>
              <w:right w:val="single" w:sz="4" w:space="0" w:color="000000"/>
            </w:tcBorders>
            <w:shd w:val="clear" w:color="auto" w:fill="auto"/>
            <w:vAlign w:val="center"/>
          </w:tcPr>
          <w:p w14:paraId="4C7404E1" w14:textId="77777777" w:rsidR="00F41C81" w:rsidRDefault="002628B6">
            <w:pPr>
              <w:spacing w:line="240" w:lineRule="auto"/>
              <w:rPr>
                <w:sz w:val="24"/>
                <w:szCs w:val="24"/>
              </w:rPr>
            </w:pPr>
            <w:r>
              <w:rPr>
                <w:sz w:val="24"/>
                <w:szCs w:val="24"/>
              </w:rPr>
              <w:t>Has this amendment been adequately justified?</w:t>
            </w:r>
          </w:p>
        </w:tc>
        <w:tc>
          <w:tcPr>
            <w:tcW w:w="6420" w:type="dxa"/>
            <w:tcBorders>
              <w:top w:val="nil"/>
              <w:left w:val="nil"/>
              <w:bottom w:val="single" w:sz="4" w:space="0" w:color="000000"/>
              <w:right w:val="single" w:sz="4" w:space="0" w:color="000000"/>
            </w:tcBorders>
            <w:shd w:val="clear" w:color="auto" w:fill="auto"/>
            <w:vAlign w:val="bottom"/>
          </w:tcPr>
          <w:p w14:paraId="19EC1072"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r w:rsidR="00F41C81" w14:paraId="5DDD651B" w14:textId="77777777">
        <w:trPr>
          <w:trHeight w:val="680"/>
        </w:trPr>
        <w:tc>
          <w:tcPr>
            <w:tcW w:w="4280" w:type="dxa"/>
            <w:tcBorders>
              <w:top w:val="nil"/>
              <w:left w:val="single" w:sz="4" w:space="0" w:color="000000"/>
              <w:bottom w:val="single" w:sz="4" w:space="0" w:color="000000"/>
              <w:right w:val="single" w:sz="4" w:space="0" w:color="000000"/>
            </w:tcBorders>
            <w:shd w:val="clear" w:color="auto" w:fill="auto"/>
            <w:vAlign w:val="center"/>
          </w:tcPr>
          <w:p w14:paraId="73912C38" w14:textId="77777777" w:rsidR="00F41C81" w:rsidRDefault="002628B6">
            <w:pPr>
              <w:spacing w:line="240" w:lineRule="auto"/>
              <w:rPr>
                <w:sz w:val="24"/>
                <w:szCs w:val="24"/>
              </w:rPr>
            </w:pPr>
            <w:r>
              <w:rPr>
                <w:sz w:val="24"/>
                <w:szCs w:val="24"/>
              </w:rPr>
              <w:t>Is any clarification needed? If so, explain:</w:t>
            </w:r>
          </w:p>
        </w:tc>
        <w:tc>
          <w:tcPr>
            <w:tcW w:w="6420" w:type="dxa"/>
            <w:tcBorders>
              <w:top w:val="nil"/>
              <w:left w:val="nil"/>
              <w:bottom w:val="single" w:sz="4" w:space="0" w:color="000000"/>
              <w:right w:val="single" w:sz="4" w:space="0" w:color="000000"/>
            </w:tcBorders>
            <w:shd w:val="clear" w:color="auto" w:fill="auto"/>
            <w:vAlign w:val="bottom"/>
          </w:tcPr>
          <w:p w14:paraId="235A64E5" w14:textId="77777777" w:rsidR="00F41C81" w:rsidRDefault="002628B6">
            <w:pPr>
              <w:spacing w:line="240" w:lineRule="auto"/>
              <w:rPr>
                <w:rFonts w:ascii="Calibri" w:eastAsia="Calibri" w:hAnsi="Calibri" w:cs="Calibri"/>
                <w:sz w:val="24"/>
                <w:szCs w:val="24"/>
              </w:rPr>
            </w:pPr>
            <w:r>
              <w:rPr>
                <w:rFonts w:ascii="Calibri" w:eastAsia="Calibri" w:hAnsi="Calibri" w:cs="Calibri"/>
                <w:sz w:val="24"/>
                <w:szCs w:val="24"/>
              </w:rPr>
              <w:t> </w:t>
            </w:r>
          </w:p>
        </w:tc>
      </w:tr>
    </w:tbl>
    <w:p w14:paraId="117C9454" w14:textId="77777777" w:rsidR="00F41C81" w:rsidRDefault="00F41C81"/>
    <w:sectPr w:rsidR="00F41C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B04F0"/>
    <w:multiLevelType w:val="multilevel"/>
    <w:tmpl w:val="4DE0E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496A76"/>
    <w:multiLevelType w:val="multilevel"/>
    <w:tmpl w:val="068C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E2514B"/>
    <w:multiLevelType w:val="multilevel"/>
    <w:tmpl w:val="F8F0A27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7F8142E"/>
    <w:multiLevelType w:val="multilevel"/>
    <w:tmpl w:val="C82E09C2"/>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575584"/>
    <w:multiLevelType w:val="multilevel"/>
    <w:tmpl w:val="FA368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81"/>
    <w:rsid w:val="002628B6"/>
    <w:rsid w:val="00F4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29099"/>
  <w15:docId w15:val="{A8B275CA-17B7-A44F-BB93-B91076AC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6355EA-0657-4A28-A6E8-F8F669C5F386}"/>
</file>

<file path=customXml/itemProps2.xml><?xml version="1.0" encoding="utf-8"?>
<ds:datastoreItem xmlns:ds="http://schemas.openxmlformats.org/officeDocument/2006/customXml" ds:itemID="{D18C5940-CA51-441F-8AB7-7BC82751F545}"/>
</file>

<file path=customXml/itemProps3.xml><?xml version="1.0" encoding="utf-8"?>
<ds:datastoreItem xmlns:ds="http://schemas.openxmlformats.org/officeDocument/2006/customXml" ds:itemID="{55ED20EF-684B-48A9-A38A-918FE51BA907}"/>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Office User</cp:lastModifiedBy>
  <cp:revision>2</cp:revision>
  <dcterms:created xsi:type="dcterms:W3CDTF">2020-06-11T11:58:00Z</dcterms:created>
  <dcterms:modified xsi:type="dcterms:W3CDTF">2020-06-11T11:59:00Z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710100</vt:r8>
  </property>
  <property fmtid="{D5CDD505-2E9C-101B-9397-08002B2CF9AE}" pid="9" name="PublishingRollupImage">
    <vt:lpwstr/>
  </property>
  <property fmtid="{D5CDD505-2E9C-101B-9397-08002B2CF9AE}" pid="11" name="ArticleByLine">
    <vt:lpwstr/>
  </property>
  <property fmtid="{D5CDD505-2E9C-101B-9397-08002B2CF9AE}" pid="12" name="PublishingContactEmail">
    <vt:lpwstr/>
  </property>
  <property fmtid="{D5CDD505-2E9C-101B-9397-08002B2CF9AE}" pid="13" name="PageKeywords">
    <vt:lpwstr/>
  </property>
  <property fmtid="{D5CDD505-2E9C-101B-9397-08002B2CF9AE}" pid="14" name="xd_Signature">
    <vt:bool>false</vt:bool>
  </property>
  <property fmtid="{D5CDD505-2E9C-101B-9397-08002B2CF9AE}" pid="15" name="PublishingPageImage">
    <vt:lpwstr/>
  </property>
  <property fmtid="{D5CDD505-2E9C-101B-9397-08002B2CF9AE}" pid="16" name="SummaryLinks">
    <vt:lpwstr/>
  </property>
  <property fmtid="{D5CDD505-2E9C-101B-9397-08002B2CF9AE}" pid="17" name="PageDescription">
    <vt:lpwstr/>
  </property>
  <property fmtid="{D5CDD505-2E9C-101B-9397-08002B2CF9AE}" pid="18" name="xd_ProgID">
    <vt:lpwstr/>
  </property>
  <property fmtid="{D5CDD505-2E9C-101B-9397-08002B2CF9AE}" pid="19" name="RobotsNoIndex">
    <vt:bool>false</vt:bool>
  </property>
  <property fmtid="{D5CDD505-2E9C-101B-9397-08002B2CF9AE}" pid="20" name="SeoMetaDescription">
    <vt:lpwstr/>
  </property>
  <property fmtid="{D5CDD505-2E9C-101B-9397-08002B2CF9AE}" pid="21" name="PublishingVariationRelationshipLinkFieldID">
    <vt:lpwstr/>
  </property>
  <property fmtid="{D5CDD505-2E9C-101B-9397-08002B2CF9AE}" pid="22" name="_SourceUrl">
    <vt:lpwstr/>
  </property>
  <property fmtid="{D5CDD505-2E9C-101B-9397-08002B2CF9AE}" pid="23" name="_SharedFileIndex">
    <vt:lpwstr/>
  </property>
  <property fmtid="{D5CDD505-2E9C-101B-9397-08002B2CF9AE}" pid="24" name="HeaderStyleDefinitions">
    <vt:lpwstr/>
  </property>
  <property fmtid="{D5CDD505-2E9C-101B-9397-08002B2CF9AE}" pid="25" name="Main_Content">
    <vt:lpwstr/>
  </property>
  <property fmtid="{D5CDD505-2E9C-101B-9397-08002B2CF9AE}" pid="26" name="PageHeadline">
    <vt:lpwstr/>
  </property>
  <property fmtid="{D5CDD505-2E9C-101B-9397-08002B2CF9AE}" pid="27" name="TemplateUrl">
    <vt:lpwstr/>
  </property>
  <property fmtid="{D5CDD505-2E9C-101B-9397-08002B2CF9AE}" pid="28" name="Audience">
    <vt:lpwstr/>
  </property>
  <property fmtid="{D5CDD505-2E9C-101B-9397-08002B2CF9AE}" pid="29" name="Rt_Center_Content">
    <vt:lpwstr/>
  </property>
  <property fmtid="{D5CDD505-2E9C-101B-9397-08002B2CF9AE}" pid="30" name="PublishingImageCaption">
    <vt:lpwstr/>
  </property>
  <property fmtid="{D5CDD505-2E9C-101B-9397-08002B2CF9AE}" pid="31" name="PublishingIsFurlPage">
    <vt:bool>false</vt:bool>
  </property>
  <property fmtid="{D5CDD505-2E9C-101B-9397-08002B2CF9AE}" pid="32" name="PublishingContactPicture">
    <vt:lpwstr/>
  </property>
  <property fmtid="{D5CDD505-2E9C-101B-9397-08002B2CF9AE}" pid="33" name="PublishingVariationGroupID">
    <vt:lpwstr/>
  </property>
  <property fmtid="{D5CDD505-2E9C-101B-9397-08002B2CF9AE}" pid="34" name="Center_Content">
    <vt:lpwstr/>
  </property>
  <property fmtid="{D5CDD505-2E9C-101B-9397-08002B2CF9AE}" pid="35" name="Rt_bottom_Content">
    <vt:lpwstr/>
  </property>
  <property fmtid="{D5CDD505-2E9C-101B-9397-08002B2CF9AE}" pid="36" name="PublishingContactName">
    <vt:lpwstr/>
  </property>
  <property fmtid="{D5CDD505-2E9C-101B-9397-08002B2CF9AE}" pid="37" name="Comments">
    <vt:lpwstr/>
  </property>
  <property fmtid="{D5CDD505-2E9C-101B-9397-08002B2CF9AE}" pid="38" name="PublishingPageLayout">
    <vt:lpwstr/>
  </property>
  <property fmtid="{D5CDD505-2E9C-101B-9397-08002B2CF9AE}" pid="39" name="Lt_Inner_Content">
    <vt:lpwstr/>
  </property>
  <property fmtid="{D5CDD505-2E9C-101B-9397-08002B2CF9AE}" pid="40" name="PublishingPageContent">
    <vt:lpwstr/>
  </property>
  <property fmtid="{D5CDD505-2E9C-101B-9397-08002B2CF9AE}" pid="41" name="Left_Content">
    <vt:lpwstr/>
  </property>
  <property fmtid="{D5CDD505-2E9C-101B-9397-08002B2CF9AE}" pid="42" name="Top_Left_Content">
    <vt:lpwstr/>
  </property>
  <property fmtid="{D5CDD505-2E9C-101B-9397-08002B2CF9AE}" pid="43" name="Rt_Inner_Content">
    <vt:lpwstr/>
  </property>
</Properties>
</file>