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B696" w14:textId="65224F71" w:rsidR="000F47E3" w:rsidRPr="007D154B" w:rsidRDefault="00585D81" w:rsidP="007D154B">
      <w:pPr>
        <w:ind w:right="36"/>
        <w:rPr>
          <w:rFonts w:ascii="Cambria" w:eastAsia="Times" w:hAnsi="Cambria"/>
          <w:sz w:val="22"/>
          <w:szCs w:val="22"/>
        </w:rPr>
      </w:pPr>
      <w:r>
        <w:rPr>
          <w:noProof/>
        </w:rPr>
        <w:drawing>
          <wp:inline distT="0" distB="0" distL="0" distR="0" wp14:anchorId="20C34A44" wp14:editId="704E7C43">
            <wp:extent cx="6225703" cy="863341"/>
            <wp:effectExtent l="0" t="0" r="0" b="635"/>
            <wp:docPr id="1" name="Picture 1"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62ED44FF" w14:textId="77777777" w:rsidR="00660141" w:rsidRDefault="00660141" w:rsidP="000E4CA8">
      <w:pPr>
        <w:tabs>
          <w:tab w:val="left" w:pos="1560"/>
        </w:tabs>
        <w:rPr>
          <w:rFonts w:ascii="Cambria" w:hAnsi="Cambria"/>
          <w:b/>
          <w:color w:val="4472C4" w:themeColor="accent1"/>
          <w:sz w:val="32"/>
          <w:szCs w:val="32"/>
        </w:rPr>
      </w:pPr>
    </w:p>
    <w:p w14:paraId="0430E250" w14:textId="7FD70C87" w:rsidR="00585D81" w:rsidRDefault="000E4CA8" w:rsidP="000E4CA8">
      <w:pPr>
        <w:tabs>
          <w:tab w:val="left" w:pos="1560"/>
        </w:tabs>
        <w:jc w:val="center"/>
        <w:rPr>
          <w:rFonts w:ascii="Calibri" w:hAnsi="Calibri" w:cs="Calibri"/>
          <w:b/>
          <w:color w:val="000000" w:themeColor="text1"/>
        </w:rPr>
      </w:pPr>
      <w:r w:rsidRPr="00660141">
        <w:rPr>
          <w:noProof/>
        </w:rPr>
        <w:drawing>
          <wp:inline distT="0" distB="0" distL="0" distR="0" wp14:anchorId="7808A122" wp14:editId="3DAE37AB">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6FD7218B" w14:textId="77777777" w:rsidR="000E4CA8" w:rsidRDefault="000E4CA8" w:rsidP="000E4CA8">
      <w:pPr>
        <w:tabs>
          <w:tab w:val="left" w:pos="1560"/>
        </w:tabs>
        <w:jc w:val="center"/>
        <w:rPr>
          <w:rFonts w:ascii="Calibri" w:hAnsi="Calibri" w:cs="Calibri"/>
          <w:b/>
          <w:color w:val="000000" w:themeColor="text1"/>
          <w:sz w:val="28"/>
          <w:szCs w:val="28"/>
        </w:rPr>
      </w:pPr>
    </w:p>
    <w:p w14:paraId="437CE6CB" w14:textId="450F1CF8" w:rsidR="0041562E" w:rsidRPr="00585D81" w:rsidRDefault="0041562E" w:rsidP="000E4CA8">
      <w:pPr>
        <w:tabs>
          <w:tab w:val="left" w:pos="1560"/>
        </w:tabs>
        <w:jc w:val="center"/>
        <w:rPr>
          <w:rFonts w:ascii="Calibri" w:hAnsi="Calibri" w:cs="Calibri"/>
          <w:b/>
          <w:color w:val="000000" w:themeColor="text1"/>
          <w:sz w:val="28"/>
          <w:szCs w:val="28"/>
        </w:rPr>
      </w:pPr>
      <w:r w:rsidRPr="00585D81">
        <w:rPr>
          <w:rFonts w:ascii="Calibri" w:hAnsi="Calibri" w:cs="Calibri"/>
          <w:b/>
          <w:color w:val="000000" w:themeColor="text1"/>
          <w:sz w:val="28"/>
          <w:szCs w:val="28"/>
        </w:rPr>
        <w:t>MARYLAND STATE DEPARTMENT OF EDUCATION</w:t>
      </w:r>
    </w:p>
    <w:p w14:paraId="29AED2C3" w14:textId="77777777" w:rsidR="0041562E" w:rsidRPr="00585D81" w:rsidRDefault="0041562E" w:rsidP="000E4CA8">
      <w:pPr>
        <w:tabs>
          <w:tab w:val="left" w:pos="1560"/>
        </w:tabs>
        <w:jc w:val="center"/>
        <w:rPr>
          <w:rFonts w:ascii="Calibri" w:hAnsi="Calibri" w:cs="Calibri"/>
          <w:b/>
          <w:color w:val="000000" w:themeColor="text1"/>
          <w:sz w:val="28"/>
          <w:szCs w:val="28"/>
        </w:rPr>
      </w:pPr>
      <w:r w:rsidRPr="00585D81">
        <w:rPr>
          <w:rFonts w:ascii="Calibri" w:hAnsi="Calibri" w:cs="Calibri"/>
          <w:b/>
          <w:color w:val="000000" w:themeColor="text1"/>
          <w:sz w:val="28"/>
          <w:szCs w:val="28"/>
        </w:rPr>
        <w:t>Division of Early Intervention and Special Education Services</w:t>
      </w:r>
    </w:p>
    <w:p w14:paraId="32D85496" w14:textId="77777777" w:rsidR="00544EC7" w:rsidRPr="00585D81" w:rsidRDefault="00544EC7" w:rsidP="000E4CA8">
      <w:pPr>
        <w:tabs>
          <w:tab w:val="left" w:pos="1560"/>
        </w:tabs>
        <w:jc w:val="center"/>
        <w:rPr>
          <w:rFonts w:ascii="Calibri" w:hAnsi="Calibri" w:cs="Calibri"/>
          <w:b/>
          <w:color w:val="048B3E"/>
          <w:sz w:val="28"/>
          <w:szCs w:val="28"/>
        </w:rPr>
      </w:pPr>
      <w:r w:rsidRPr="00585D81">
        <w:rPr>
          <w:rFonts w:ascii="Calibri" w:hAnsi="Calibri" w:cs="Calibri"/>
          <w:b/>
          <w:color w:val="048B3E"/>
          <w:sz w:val="28"/>
          <w:szCs w:val="28"/>
        </w:rPr>
        <w:t>IMPLEMENTATION BEST PRACTICES &amp; CONSIDERATIONS</w:t>
      </w:r>
    </w:p>
    <w:p w14:paraId="3031DEDA" w14:textId="77777777" w:rsidR="00544EC7" w:rsidRPr="009C6CBE" w:rsidRDefault="00544EC7" w:rsidP="000E4CA8">
      <w:pPr>
        <w:tabs>
          <w:tab w:val="left" w:pos="1560"/>
        </w:tabs>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 xml:space="preserve">Marcella E. </w:t>
      </w:r>
      <w:proofErr w:type="spellStart"/>
      <w:r w:rsidRPr="003A46E4">
        <w:rPr>
          <w:rFonts w:ascii="Calibri" w:hAnsi="Calibri" w:cs="Calibri"/>
          <w:i/>
          <w:color w:val="000000" w:themeColor="text1"/>
          <w:sz w:val="22"/>
          <w:szCs w:val="22"/>
        </w:rPr>
        <w:t>Franczkowski</w:t>
      </w:r>
      <w:proofErr w:type="spellEnd"/>
      <w:r w:rsidRPr="003A46E4">
        <w:rPr>
          <w:rFonts w:ascii="Calibri" w:hAnsi="Calibri" w:cs="Calibri"/>
          <w:i/>
          <w:color w:val="000000" w:themeColor="text1"/>
          <w:sz w:val="22"/>
          <w:szCs w:val="22"/>
        </w:rPr>
        <w:t>, M.S., Assistant State Superintendent</w:t>
      </w:r>
    </w:p>
    <w:p w14:paraId="4F1E8471" w14:textId="77777777" w:rsidR="006A7D47" w:rsidRDefault="006A7D47" w:rsidP="006A7D47">
      <w:pPr>
        <w:tabs>
          <w:tab w:val="left" w:pos="1560"/>
        </w:tabs>
        <w:spacing w:after="120"/>
        <w:rPr>
          <w:rFonts w:ascii="Calibri" w:hAnsi="Calibri" w:cs="Calibri"/>
          <w:color w:val="048B3E"/>
        </w:rPr>
      </w:pPr>
    </w:p>
    <w:p w14:paraId="60CBC355" w14:textId="643D7E7B" w:rsidR="006A7D47" w:rsidRPr="00585D81" w:rsidRDefault="006A7D47" w:rsidP="006A7D47">
      <w:pPr>
        <w:tabs>
          <w:tab w:val="left" w:pos="1560"/>
        </w:tabs>
        <w:spacing w:after="120"/>
        <w:rPr>
          <w:rFonts w:ascii="Calibri" w:hAnsi="Calibri" w:cs="Calibri"/>
          <w:i/>
          <w:color w:val="000000" w:themeColor="text1"/>
          <w:sz w:val="21"/>
          <w:szCs w:val="21"/>
        </w:rPr>
      </w:pPr>
      <w:r w:rsidRPr="000E4CA8">
        <w:rPr>
          <w:rFonts w:ascii="Calibri" w:hAnsi="Calibri" w:cs="Calibri"/>
          <w:b/>
          <w:bCs/>
          <w:color w:val="000000" w:themeColor="text1"/>
          <w:sz w:val="21"/>
          <w:szCs w:val="21"/>
        </w:rPr>
        <w:t>DATE ISSUED:</w:t>
      </w:r>
      <w:r w:rsidRPr="000E4CA8">
        <w:rPr>
          <w:rFonts w:ascii="Calibri" w:hAnsi="Calibri" w:cs="Calibri"/>
          <w:b/>
          <w:color w:val="000000" w:themeColor="text1"/>
          <w:sz w:val="21"/>
          <w:szCs w:val="21"/>
        </w:rPr>
        <w:t xml:space="preserve"> </w:t>
      </w:r>
      <w:r w:rsidRPr="00585D81">
        <w:rPr>
          <w:rFonts w:ascii="Calibri" w:hAnsi="Calibri" w:cs="Calibri"/>
          <w:b/>
          <w:color w:val="000000" w:themeColor="text1"/>
          <w:sz w:val="21"/>
          <w:szCs w:val="21"/>
        </w:rPr>
        <w:t>July 2020</w:t>
      </w:r>
      <w:r w:rsidR="00585D81" w:rsidRPr="00C02D03">
        <w:rPr>
          <w:rFonts w:asciiTheme="minorHAnsi" w:hAnsiTheme="minorHAnsi" w:cstheme="minorHAnsi"/>
          <w:b/>
          <w:color w:val="000000" w:themeColor="text1"/>
          <w:sz w:val="21"/>
          <w:szCs w:val="21"/>
        </w:rPr>
        <w:t>, Revised August 2022</w:t>
      </w:r>
    </w:p>
    <w:p w14:paraId="02510C30" w14:textId="1E00783F" w:rsidR="000F390B" w:rsidRPr="00E61271" w:rsidRDefault="00544EC7" w:rsidP="00E61271">
      <w:pPr>
        <w:tabs>
          <w:tab w:val="left" w:pos="1560"/>
        </w:tabs>
        <w:spacing w:before="240" w:after="240"/>
        <w:jc w:val="center"/>
        <w:rPr>
          <w:rFonts w:ascii="Calibri" w:hAnsi="Calibri" w:cs="Calibri"/>
          <w:b/>
          <w:color w:val="048B3E"/>
          <w:sz w:val="32"/>
          <w:szCs w:val="32"/>
        </w:rPr>
      </w:pPr>
      <w:r w:rsidRPr="004E4BBF">
        <w:rPr>
          <w:rFonts w:ascii="Calibri" w:hAnsi="Calibri" w:cs="Calibri"/>
          <w:b/>
          <w:color w:val="048B3E"/>
          <w:sz w:val="32"/>
          <w:szCs w:val="32"/>
        </w:rPr>
        <w:t xml:space="preserve">TIPs </w:t>
      </w:r>
      <w:r w:rsidR="00C17D2B">
        <w:rPr>
          <w:rFonts w:ascii="Calibri" w:hAnsi="Calibri" w:cs="Calibri"/>
          <w:b/>
          <w:color w:val="048B3E"/>
          <w:sz w:val="32"/>
          <w:szCs w:val="32"/>
        </w:rPr>
        <w:t xml:space="preserve">for Planning for Students who are Blind, Low-Vision, </w:t>
      </w:r>
      <w:r w:rsidR="00C17D2B">
        <w:rPr>
          <w:rFonts w:ascii="Calibri" w:hAnsi="Calibri" w:cs="Calibri"/>
          <w:b/>
          <w:color w:val="048B3E"/>
          <w:sz w:val="32"/>
          <w:szCs w:val="32"/>
        </w:rPr>
        <w:br/>
        <w:t>Deaf, Hard-of-Hearing, and Deaf/Blind</w:t>
      </w:r>
    </w:p>
    <w:p w14:paraId="7A4D3BD1" w14:textId="7DFAEA6E" w:rsidR="000F390B" w:rsidRPr="00585D81" w:rsidRDefault="000F390B" w:rsidP="000F390B">
      <w:pPr>
        <w:tabs>
          <w:tab w:val="left" w:pos="1560"/>
        </w:tabs>
        <w:rPr>
          <w:rFonts w:ascii="Calibri" w:hAnsi="Calibri" w:cs="Calibri"/>
          <w:color w:val="000000" w:themeColor="text1"/>
          <w:sz w:val="21"/>
          <w:szCs w:val="21"/>
        </w:rPr>
      </w:pPr>
      <w:r w:rsidRPr="00585D81">
        <w:rPr>
          <w:rFonts w:ascii="Calibri" w:hAnsi="Calibri" w:cs="Calibri"/>
          <w:color w:val="000000" w:themeColor="text1"/>
          <w:sz w:val="21"/>
          <w:szCs w:val="21"/>
        </w:rPr>
        <w:t xml:space="preserve">Students who are Blind, Low-Vision, Deaf, Hard-of-Hearing and </w:t>
      </w:r>
      <w:r w:rsidR="00BF14CF" w:rsidRPr="00585D81">
        <w:rPr>
          <w:rFonts w:ascii="Calibri" w:hAnsi="Calibri" w:cs="Calibri"/>
          <w:color w:val="000000" w:themeColor="text1"/>
          <w:sz w:val="21"/>
          <w:szCs w:val="21"/>
        </w:rPr>
        <w:t>Deaf/Blind</w:t>
      </w:r>
      <w:r w:rsidRPr="00585D81">
        <w:rPr>
          <w:rFonts w:ascii="Calibri" w:hAnsi="Calibri" w:cs="Calibri"/>
          <w:color w:val="000000" w:themeColor="text1"/>
          <w:sz w:val="21"/>
          <w:szCs w:val="21"/>
        </w:rPr>
        <w:t xml:space="preserve"> are a small but diverse group. Meeting their individual learning needs and ensuring equitable access to, and participation in educational opportunities during the </w:t>
      </w:r>
      <w:r w:rsidR="00494899">
        <w:rPr>
          <w:rFonts w:ascii="Calibri" w:hAnsi="Calibri" w:cs="Calibri"/>
          <w:color w:val="000000" w:themeColor="text1"/>
          <w:sz w:val="21"/>
          <w:szCs w:val="21"/>
        </w:rPr>
        <w:t>in various learning environments</w:t>
      </w:r>
      <w:r w:rsidRPr="00585D81">
        <w:rPr>
          <w:rFonts w:ascii="Calibri" w:hAnsi="Calibri" w:cs="Calibri"/>
          <w:color w:val="000000" w:themeColor="text1"/>
          <w:sz w:val="21"/>
          <w:szCs w:val="21"/>
        </w:rPr>
        <w:t xml:space="preserve"> requires thoughtful and proactive planning.  Designing schedules, virtual learning opportunities, and other programming with their needs in mind is more efficient and effective than attempting to “retrofit” plans and procedures after they are established. Input from professionals and leaders with expertise with this population of students (such as Teachers of the Visually Impaired, Teachers of the Deaf, Interpreters, Orientation and Mobility Specialists, and Educational Audiologists) is essential. The tips and strategies below may be useful in combination with considerations for all students with disabilities and for students with intensive, individualized needs.</w:t>
      </w:r>
    </w:p>
    <w:p w14:paraId="7FFCAB79" w14:textId="77777777" w:rsidR="000F390B" w:rsidRPr="00585D81" w:rsidRDefault="000F390B" w:rsidP="000F390B">
      <w:pPr>
        <w:tabs>
          <w:tab w:val="left" w:pos="1560"/>
        </w:tabs>
        <w:rPr>
          <w:rFonts w:ascii="Calibri" w:hAnsi="Calibri" w:cs="Calibri"/>
          <w:color w:val="000000" w:themeColor="text1"/>
          <w:sz w:val="21"/>
          <w:szCs w:val="21"/>
        </w:rPr>
      </w:pPr>
    </w:p>
    <w:tbl>
      <w:tblPr>
        <w:tblStyle w:val="TableGrid"/>
        <w:tblW w:w="0" w:type="auto"/>
        <w:tblLook w:val="04A0" w:firstRow="1" w:lastRow="0" w:firstColumn="1" w:lastColumn="0" w:noHBand="0" w:noVBand="1"/>
      </w:tblPr>
      <w:tblGrid>
        <w:gridCol w:w="2755"/>
        <w:gridCol w:w="7171"/>
      </w:tblGrid>
      <w:tr w:rsidR="000F390B" w:rsidRPr="00585D81" w14:paraId="7AC584D6" w14:textId="77777777" w:rsidTr="00BF14CF">
        <w:trPr>
          <w:tblHeader/>
        </w:trPr>
        <w:tc>
          <w:tcPr>
            <w:tcW w:w="2755" w:type="dxa"/>
          </w:tcPr>
          <w:p w14:paraId="1B4B3D1E" w14:textId="77777777" w:rsidR="000F390B" w:rsidRPr="00585D81" w:rsidRDefault="000F390B" w:rsidP="009B243F">
            <w:pPr>
              <w:tabs>
                <w:tab w:val="left" w:pos="1560"/>
              </w:tabs>
              <w:rPr>
                <w:rFonts w:ascii="Calibri" w:hAnsi="Calibri" w:cs="Calibri"/>
                <w:b/>
                <w:sz w:val="21"/>
                <w:szCs w:val="21"/>
              </w:rPr>
            </w:pPr>
            <w:r w:rsidRPr="00585D81">
              <w:rPr>
                <w:rFonts w:ascii="Calibri" w:hAnsi="Calibri" w:cs="Calibri"/>
                <w:b/>
                <w:sz w:val="21"/>
                <w:szCs w:val="21"/>
              </w:rPr>
              <w:t>Setting</w:t>
            </w:r>
          </w:p>
        </w:tc>
        <w:tc>
          <w:tcPr>
            <w:tcW w:w="7171" w:type="dxa"/>
          </w:tcPr>
          <w:p w14:paraId="30745AA0" w14:textId="77777777" w:rsidR="000F390B" w:rsidRPr="00585D81" w:rsidRDefault="000F390B" w:rsidP="009B243F">
            <w:pPr>
              <w:tabs>
                <w:tab w:val="left" w:pos="918"/>
              </w:tabs>
              <w:jc w:val="center"/>
              <w:rPr>
                <w:rFonts w:ascii="Calibri" w:hAnsi="Calibri" w:cs="Calibri"/>
                <w:b/>
                <w:sz w:val="21"/>
                <w:szCs w:val="21"/>
              </w:rPr>
            </w:pPr>
            <w:r w:rsidRPr="00585D81">
              <w:rPr>
                <w:rFonts w:ascii="Calibri" w:hAnsi="Calibri" w:cs="Calibri"/>
                <w:b/>
                <w:sz w:val="21"/>
                <w:szCs w:val="21"/>
              </w:rPr>
              <w:t>Strategies for Support</w:t>
            </w:r>
          </w:p>
        </w:tc>
      </w:tr>
      <w:tr w:rsidR="000F390B" w:rsidRPr="00585D81" w14:paraId="63B2626B" w14:textId="77777777" w:rsidTr="00111EBF">
        <w:trPr>
          <w:trHeight w:val="1943"/>
        </w:trPr>
        <w:tc>
          <w:tcPr>
            <w:tcW w:w="2755" w:type="dxa"/>
          </w:tcPr>
          <w:p w14:paraId="06860859" w14:textId="77777777" w:rsidR="000F390B" w:rsidRPr="00585D81" w:rsidRDefault="000F390B" w:rsidP="009B243F">
            <w:pPr>
              <w:tabs>
                <w:tab w:val="left" w:pos="1560"/>
              </w:tabs>
              <w:rPr>
                <w:rFonts w:ascii="Calibri" w:hAnsi="Calibri" w:cs="Calibri"/>
                <w:b/>
                <w:sz w:val="21"/>
                <w:szCs w:val="21"/>
              </w:rPr>
            </w:pPr>
            <w:r w:rsidRPr="00585D81">
              <w:rPr>
                <w:rFonts w:ascii="Calibri" w:hAnsi="Calibri" w:cs="Calibri"/>
                <w:b/>
                <w:sz w:val="21"/>
                <w:szCs w:val="21"/>
              </w:rPr>
              <w:t xml:space="preserve">In-Person Instruction </w:t>
            </w:r>
          </w:p>
          <w:p w14:paraId="0278FA24" w14:textId="77777777" w:rsidR="000F390B" w:rsidRDefault="000F390B" w:rsidP="009B243F">
            <w:pPr>
              <w:tabs>
                <w:tab w:val="left" w:pos="1560"/>
              </w:tabs>
              <w:rPr>
                <w:rFonts w:ascii="Calibri" w:hAnsi="Calibri" w:cs="Calibri"/>
                <w:sz w:val="21"/>
                <w:szCs w:val="21"/>
              </w:rPr>
            </w:pPr>
            <w:r w:rsidRPr="00585D81">
              <w:rPr>
                <w:rFonts w:ascii="Calibri" w:hAnsi="Calibri" w:cs="Calibri"/>
                <w:sz w:val="21"/>
                <w:szCs w:val="21"/>
              </w:rPr>
              <w:t xml:space="preserve">Students who are Blind, Deaf, or </w:t>
            </w:r>
            <w:r w:rsidR="00BF14CF" w:rsidRPr="00585D81">
              <w:rPr>
                <w:rFonts w:ascii="Calibri" w:hAnsi="Calibri" w:cs="Calibri"/>
                <w:sz w:val="21"/>
                <w:szCs w:val="21"/>
              </w:rPr>
              <w:t>Deaf/Blind</w:t>
            </w:r>
            <w:r w:rsidRPr="00585D81">
              <w:rPr>
                <w:rFonts w:ascii="Calibri" w:hAnsi="Calibri" w:cs="Calibri"/>
                <w:sz w:val="21"/>
                <w:szCs w:val="21"/>
              </w:rPr>
              <w:t>, especially those with multiple disabilities, may require educational and support services that require close physical</w:t>
            </w:r>
            <w:r w:rsidR="0048180D" w:rsidRPr="00585D81">
              <w:rPr>
                <w:rFonts w:ascii="Calibri" w:hAnsi="Calibri" w:cs="Calibri"/>
                <w:sz w:val="21"/>
                <w:szCs w:val="21"/>
              </w:rPr>
              <w:t xml:space="preserve"> proximity (e.g., tactical signing, human guide, Braille instruction, some forms of prompting).</w:t>
            </w:r>
          </w:p>
          <w:p w14:paraId="65327985" w14:textId="77777777" w:rsidR="003810FA" w:rsidRPr="003810FA" w:rsidRDefault="003810FA" w:rsidP="003810FA">
            <w:pPr>
              <w:rPr>
                <w:rFonts w:ascii="Calibri" w:hAnsi="Calibri" w:cs="Calibri"/>
                <w:sz w:val="21"/>
                <w:szCs w:val="21"/>
              </w:rPr>
            </w:pPr>
          </w:p>
          <w:p w14:paraId="5EFAE285" w14:textId="0C113AC3" w:rsidR="003810FA" w:rsidRPr="003810FA" w:rsidRDefault="003810FA" w:rsidP="00712C78">
            <w:pPr>
              <w:rPr>
                <w:rFonts w:ascii="Calibri" w:hAnsi="Calibri" w:cs="Calibri"/>
                <w:sz w:val="21"/>
                <w:szCs w:val="21"/>
              </w:rPr>
            </w:pPr>
          </w:p>
        </w:tc>
        <w:tc>
          <w:tcPr>
            <w:tcW w:w="7171" w:type="dxa"/>
          </w:tcPr>
          <w:p w14:paraId="59D0FE41" w14:textId="77777777" w:rsidR="0048180D" w:rsidRPr="00585D81" w:rsidRDefault="000F390B"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When social distancing cannot be maintained, enhanced safety protocols may be needed (e.g., face shields, masks, gloves, etc.). Create plans to acclimate students to these procedures.</w:t>
            </w:r>
          </w:p>
          <w:p w14:paraId="41B6D9B5" w14:textId="77777777" w:rsidR="000F390B" w:rsidRPr="00585D81" w:rsidRDefault="000F390B"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Consider how the sharing of materials can be minimized. If items must be shared or used sequentially by different people, plan for cleaning and disinfecting them between use. For items that travel between home and school (e.g., communication devices, white canes, mobility devices), consider any needs for</w:t>
            </w:r>
            <w:r w:rsidR="0048180D" w:rsidRPr="00585D81">
              <w:rPr>
                <w:rFonts w:ascii="Calibri" w:hAnsi="Calibri" w:cs="Calibri"/>
                <w:sz w:val="21"/>
                <w:szCs w:val="21"/>
              </w:rPr>
              <w:t xml:space="preserve"> </w:t>
            </w:r>
            <w:r w:rsidRPr="00585D81">
              <w:rPr>
                <w:rFonts w:ascii="Calibri" w:hAnsi="Calibri" w:cs="Calibri"/>
                <w:sz w:val="21"/>
                <w:szCs w:val="21"/>
              </w:rPr>
              <w:t>cleaning</w:t>
            </w:r>
            <w:r w:rsidR="0048180D" w:rsidRPr="00585D81">
              <w:rPr>
                <w:rFonts w:ascii="Calibri" w:hAnsi="Calibri" w:cs="Calibri"/>
                <w:sz w:val="21"/>
                <w:szCs w:val="21"/>
              </w:rPr>
              <w:t xml:space="preserve"> and </w:t>
            </w:r>
            <w:r w:rsidRPr="00585D81">
              <w:rPr>
                <w:rFonts w:ascii="Calibri" w:hAnsi="Calibri" w:cs="Calibri"/>
                <w:sz w:val="21"/>
                <w:szCs w:val="21"/>
              </w:rPr>
              <w:t>disinfecti</w:t>
            </w:r>
            <w:r w:rsidR="0048180D" w:rsidRPr="00585D81">
              <w:rPr>
                <w:rFonts w:ascii="Calibri" w:hAnsi="Calibri" w:cs="Calibri"/>
                <w:sz w:val="21"/>
                <w:szCs w:val="21"/>
              </w:rPr>
              <w:t>ng.</w:t>
            </w:r>
          </w:p>
          <w:p w14:paraId="1ECAC348" w14:textId="77777777" w:rsidR="000F390B"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Consider ways to assign staff that limit the number of different individuals who interact (e.g., if a class has two teaching assistants, divide students between them for direct support rather than both adults assisting all students across the day).</w:t>
            </w:r>
          </w:p>
        </w:tc>
      </w:tr>
      <w:tr w:rsidR="0048180D" w:rsidRPr="00585D81" w14:paraId="25B1D91C" w14:textId="77777777" w:rsidTr="00111EBF">
        <w:trPr>
          <w:trHeight w:val="5210"/>
        </w:trPr>
        <w:tc>
          <w:tcPr>
            <w:tcW w:w="2755" w:type="dxa"/>
          </w:tcPr>
          <w:p w14:paraId="4D7684BA" w14:textId="77777777" w:rsidR="0048180D" w:rsidRPr="00585D81" w:rsidRDefault="0048180D" w:rsidP="0048180D">
            <w:pPr>
              <w:tabs>
                <w:tab w:val="left" w:pos="1560"/>
              </w:tabs>
              <w:rPr>
                <w:rFonts w:ascii="Calibri" w:hAnsi="Calibri" w:cs="Calibri"/>
                <w:b/>
                <w:sz w:val="21"/>
                <w:szCs w:val="21"/>
              </w:rPr>
            </w:pPr>
            <w:r w:rsidRPr="00585D81">
              <w:rPr>
                <w:rFonts w:ascii="Calibri" w:hAnsi="Calibri" w:cs="Calibri"/>
                <w:b/>
                <w:sz w:val="21"/>
                <w:szCs w:val="21"/>
              </w:rPr>
              <w:lastRenderedPageBreak/>
              <w:t xml:space="preserve">Face Coverings </w:t>
            </w:r>
          </w:p>
          <w:p w14:paraId="56CEB5F3" w14:textId="77777777" w:rsidR="0048180D" w:rsidRPr="00585D81" w:rsidRDefault="0048180D" w:rsidP="0048180D">
            <w:pPr>
              <w:tabs>
                <w:tab w:val="left" w:pos="1560"/>
              </w:tabs>
              <w:rPr>
                <w:rFonts w:ascii="Calibri" w:hAnsi="Calibri" w:cs="Calibri"/>
                <w:sz w:val="21"/>
                <w:szCs w:val="21"/>
              </w:rPr>
            </w:pPr>
            <w:r w:rsidRPr="00585D81">
              <w:rPr>
                <w:rFonts w:ascii="Calibri" w:hAnsi="Calibri" w:cs="Calibri"/>
                <w:sz w:val="21"/>
                <w:szCs w:val="21"/>
              </w:rPr>
              <w:t>For Deaf and hard-of-hearing students and staff, masks can impact communication access.   Other students may have developmental, sensory, or medical needs that make mask-wearing difficult.</w:t>
            </w:r>
          </w:p>
        </w:tc>
        <w:tc>
          <w:tcPr>
            <w:tcW w:w="7171" w:type="dxa"/>
          </w:tcPr>
          <w:p w14:paraId="53271813"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For students/staff who use speech reading or American Sign Language (ASL), explore alternatives to traditional masks, in consultation with health officials.   Masks with clear panels in front of the mouth and clear face shields may be alternatives.</w:t>
            </w:r>
          </w:p>
          <w:p w14:paraId="1DD360DA"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Remember that the adults and peers who interact with the Deaf students/staff members need the alternative masks, not just the Deaf person.</w:t>
            </w:r>
          </w:p>
          <w:p w14:paraId="51375DC4"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For students who use listening and spoken language, masks and face shields may negatively impact sound quality. Consider whether additional or different assistive listening devices, captioning services, or other supports are needed to provide equitable access to communication.</w:t>
            </w:r>
          </w:p>
          <w:p w14:paraId="5415087C"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Develop appropriate sanitization protocols for assistive listening devices (such as FM systems), including procedures for the sharing of microphones between staff and/or students.</w:t>
            </w:r>
          </w:p>
          <w:p w14:paraId="45F3668C"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 xml:space="preserve">For additional resources about Deaf students and masks, including sources for clear masks/face shields, visit the </w:t>
            </w:r>
            <w:hyperlink r:id="rId10" w:history="1">
              <w:r w:rsidRPr="00585D81">
                <w:rPr>
                  <w:rStyle w:val="Hyperlink"/>
                  <w:rFonts w:ascii="Calibri" w:hAnsi="Calibri" w:cs="Calibri"/>
                  <w:sz w:val="21"/>
                  <w:szCs w:val="21"/>
                </w:rPr>
                <w:t>National Deaf Center</w:t>
              </w:r>
            </w:hyperlink>
            <w:r w:rsidRPr="00585D81">
              <w:rPr>
                <w:rFonts w:ascii="Calibri" w:hAnsi="Calibri" w:cs="Calibri"/>
                <w:sz w:val="21"/>
                <w:szCs w:val="21"/>
              </w:rPr>
              <w:t>.</w:t>
            </w:r>
          </w:p>
        </w:tc>
      </w:tr>
      <w:tr w:rsidR="0048180D" w:rsidRPr="00585D81" w14:paraId="659F1139" w14:textId="77777777" w:rsidTr="00BF14CF">
        <w:tc>
          <w:tcPr>
            <w:tcW w:w="2755" w:type="dxa"/>
          </w:tcPr>
          <w:p w14:paraId="32E2CF41" w14:textId="77777777" w:rsidR="00BF14CF" w:rsidRPr="00585D81" w:rsidRDefault="0048180D" w:rsidP="0048180D">
            <w:pPr>
              <w:tabs>
                <w:tab w:val="left" w:pos="1560"/>
              </w:tabs>
              <w:rPr>
                <w:rFonts w:ascii="Calibri" w:hAnsi="Calibri" w:cs="Calibri"/>
                <w:b/>
                <w:sz w:val="21"/>
                <w:szCs w:val="21"/>
              </w:rPr>
            </w:pPr>
            <w:r w:rsidRPr="00585D81">
              <w:rPr>
                <w:rFonts w:ascii="Calibri" w:hAnsi="Calibri" w:cs="Calibri"/>
                <w:b/>
                <w:sz w:val="21"/>
                <w:szCs w:val="21"/>
              </w:rPr>
              <w:t xml:space="preserve">Student and Staff Scheduling </w:t>
            </w:r>
          </w:p>
          <w:p w14:paraId="4235C069" w14:textId="77777777" w:rsidR="0048180D" w:rsidRPr="00585D81" w:rsidRDefault="0048180D" w:rsidP="0048180D">
            <w:pPr>
              <w:tabs>
                <w:tab w:val="left" w:pos="1560"/>
              </w:tabs>
              <w:rPr>
                <w:rFonts w:ascii="Calibri" w:hAnsi="Calibri" w:cs="Calibri"/>
                <w:b/>
                <w:sz w:val="21"/>
                <w:szCs w:val="21"/>
              </w:rPr>
            </w:pPr>
            <w:r w:rsidRPr="00585D81">
              <w:rPr>
                <w:rFonts w:ascii="Calibri" w:hAnsi="Calibri" w:cs="Calibri"/>
                <w:sz w:val="21"/>
                <w:szCs w:val="21"/>
              </w:rPr>
              <w:t>Consider student needs and logistical concerns when determining schedules in a hybrid service delivery model.</w:t>
            </w:r>
          </w:p>
        </w:tc>
        <w:tc>
          <w:tcPr>
            <w:tcW w:w="7171" w:type="dxa"/>
          </w:tcPr>
          <w:p w14:paraId="2038B89B"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Consider how students in the same or nearby schools served by the same itinerant teacher can be placed on the same schedule.</w:t>
            </w:r>
          </w:p>
          <w:p w14:paraId="3B0ED4B2"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 xml:space="preserve">Account for interpreters, paraeducators, and other support staff when considering capacity limits for </w:t>
            </w:r>
            <w:proofErr w:type="gramStart"/>
            <w:r w:rsidRPr="00585D81">
              <w:rPr>
                <w:rFonts w:ascii="Calibri" w:hAnsi="Calibri" w:cs="Calibri"/>
                <w:sz w:val="21"/>
                <w:szCs w:val="21"/>
              </w:rPr>
              <w:t>socially-distanced</w:t>
            </w:r>
            <w:proofErr w:type="gramEnd"/>
            <w:r w:rsidRPr="00585D81">
              <w:rPr>
                <w:rFonts w:ascii="Calibri" w:hAnsi="Calibri" w:cs="Calibri"/>
                <w:sz w:val="21"/>
                <w:szCs w:val="21"/>
              </w:rPr>
              <w:t xml:space="preserve"> classrooms.</w:t>
            </w:r>
          </w:p>
          <w:p w14:paraId="430287F5"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Ensure appropriate space is available for service providers to meet with students individually, especially if they cannot “push-in” to classrooms because of safety requirements.</w:t>
            </w:r>
          </w:p>
          <w:p w14:paraId="53268CEE"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Consider structured routine planning time for co-teaching teams and opportunities to collaborate with other service providers.</w:t>
            </w:r>
          </w:p>
          <w:p w14:paraId="08F978E1" w14:textId="77777777" w:rsidR="00111EBF" w:rsidRPr="00585D81" w:rsidRDefault="00111EBF" w:rsidP="00111EBF">
            <w:pPr>
              <w:tabs>
                <w:tab w:val="left" w:pos="367"/>
              </w:tabs>
              <w:rPr>
                <w:rFonts w:ascii="Calibri" w:hAnsi="Calibri" w:cs="Calibri"/>
                <w:sz w:val="21"/>
                <w:szCs w:val="21"/>
              </w:rPr>
            </w:pPr>
          </w:p>
        </w:tc>
      </w:tr>
      <w:tr w:rsidR="0048180D" w:rsidRPr="00585D81" w14:paraId="14BD0E36" w14:textId="77777777" w:rsidTr="000F6CBD">
        <w:trPr>
          <w:trHeight w:val="3959"/>
        </w:trPr>
        <w:tc>
          <w:tcPr>
            <w:tcW w:w="2755" w:type="dxa"/>
          </w:tcPr>
          <w:p w14:paraId="2264AE78" w14:textId="77777777" w:rsidR="00BF14CF" w:rsidRPr="00585D81" w:rsidRDefault="0048180D" w:rsidP="0048180D">
            <w:pPr>
              <w:tabs>
                <w:tab w:val="left" w:pos="1560"/>
              </w:tabs>
              <w:rPr>
                <w:rFonts w:ascii="Calibri" w:hAnsi="Calibri" w:cs="Calibri"/>
                <w:b/>
                <w:sz w:val="21"/>
                <w:szCs w:val="21"/>
              </w:rPr>
            </w:pPr>
            <w:r w:rsidRPr="00585D81">
              <w:rPr>
                <w:rFonts w:ascii="Calibri" w:hAnsi="Calibri" w:cs="Calibri"/>
                <w:b/>
                <w:sz w:val="21"/>
                <w:szCs w:val="21"/>
              </w:rPr>
              <w:t>Virtual Instruction</w:t>
            </w:r>
          </w:p>
          <w:p w14:paraId="0B86079D" w14:textId="77777777" w:rsidR="0048180D" w:rsidRPr="00585D81" w:rsidRDefault="0048180D" w:rsidP="0048180D">
            <w:pPr>
              <w:tabs>
                <w:tab w:val="left" w:pos="1560"/>
              </w:tabs>
              <w:rPr>
                <w:rFonts w:ascii="Calibri" w:hAnsi="Calibri" w:cs="Calibri"/>
                <w:b/>
                <w:sz w:val="21"/>
                <w:szCs w:val="21"/>
              </w:rPr>
            </w:pPr>
            <w:r w:rsidRPr="00585D81">
              <w:rPr>
                <w:rFonts w:ascii="Calibri" w:hAnsi="Calibri" w:cs="Calibri"/>
                <w:sz w:val="21"/>
                <w:szCs w:val="21"/>
              </w:rPr>
              <w:t xml:space="preserve">Systems using </w:t>
            </w:r>
          </w:p>
          <w:p w14:paraId="2FDED998" w14:textId="77777777" w:rsidR="0048180D" w:rsidRPr="00585D81" w:rsidRDefault="0048180D" w:rsidP="0048180D">
            <w:pPr>
              <w:tabs>
                <w:tab w:val="left" w:pos="1560"/>
              </w:tabs>
              <w:rPr>
                <w:rFonts w:ascii="Calibri" w:hAnsi="Calibri" w:cs="Calibri"/>
                <w:b/>
                <w:sz w:val="21"/>
                <w:szCs w:val="21"/>
              </w:rPr>
            </w:pPr>
            <w:r w:rsidRPr="00585D81">
              <w:rPr>
                <w:rFonts w:ascii="Calibri" w:hAnsi="Calibri" w:cs="Calibri"/>
                <w:sz w:val="21"/>
                <w:szCs w:val="21"/>
              </w:rPr>
              <w:t>virtual/distance learning for all or part of their instruction must ensure accessibility of learning management systems, instructional tools, and curriculum materials. Students should have access to content at the same time as non-disabled peers.</w:t>
            </w:r>
          </w:p>
        </w:tc>
        <w:tc>
          <w:tcPr>
            <w:tcW w:w="7171" w:type="dxa"/>
          </w:tcPr>
          <w:p w14:paraId="134E619B" w14:textId="77777777" w:rsidR="0048180D" w:rsidRPr="00585D81" w:rsidRDefault="0048180D" w:rsidP="0048180D">
            <w:pPr>
              <w:pStyle w:val="ListParagraph"/>
              <w:numPr>
                <w:ilvl w:val="0"/>
                <w:numId w:val="12"/>
              </w:numPr>
              <w:tabs>
                <w:tab w:val="left" w:pos="367"/>
              </w:tabs>
              <w:ind w:left="367" w:hanging="367"/>
              <w:rPr>
                <w:rFonts w:ascii="Calibri" w:hAnsi="Calibri" w:cs="Calibri"/>
                <w:sz w:val="21"/>
                <w:szCs w:val="21"/>
              </w:rPr>
            </w:pPr>
            <w:r w:rsidRPr="00585D81">
              <w:rPr>
                <w:rFonts w:ascii="Calibri" w:hAnsi="Calibri" w:cs="Calibri"/>
                <w:sz w:val="21"/>
                <w:szCs w:val="21"/>
              </w:rPr>
              <w:t>Some tools and solutions used in the initial continuity of learning may need to be revised or replaced if they do not meet accessibility requirements.</w:t>
            </w:r>
          </w:p>
          <w:p w14:paraId="4103326D" w14:textId="77777777" w:rsidR="0048180D" w:rsidRPr="00585D81" w:rsidRDefault="0048180D" w:rsidP="0048180D">
            <w:pPr>
              <w:pStyle w:val="ListParagraph"/>
              <w:numPr>
                <w:ilvl w:val="0"/>
                <w:numId w:val="12"/>
              </w:numPr>
              <w:tabs>
                <w:tab w:val="left" w:pos="367"/>
              </w:tabs>
              <w:ind w:left="367" w:hanging="367"/>
              <w:rPr>
                <w:rFonts w:ascii="Calibri" w:hAnsi="Calibri" w:cs="Calibri"/>
                <w:sz w:val="21"/>
                <w:szCs w:val="21"/>
              </w:rPr>
            </w:pPr>
            <w:r w:rsidRPr="00585D81">
              <w:rPr>
                <w:rFonts w:ascii="Calibri" w:hAnsi="Calibri" w:cs="Calibri"/>
                <w:sz w:val="21"/>
                <w:szCs w:val="21"/>
              </w:rPr>
              <w:t>Students may need additional technology tools and devices; and students, families and staff (teachers, paraeducators, and interpreters) may require additional training and ongoing technical support. Consider developing tip sheets, videos, help lines and other resources that can be accessed by students, families, other caregivers, etc. for technical support.</w:t>
            </w:r>
          </w:p>
          <w:p w14:paraId="32B26580" w14:textId="77777777" w:rsidR="0048180D" w:rsidRPr="00585D81" w:rsidRDefault="0048180D" w:rsidP="0048180D">
            <w:pPr>
              <w:pStyle w:val="ListParagraph"/>
              <w:numPr>
                <w:ilvl w:val="0"/>
                <w:numId w:val="12"/>
              </w:numPr>
              <w:tabs>
                <w:tab w:val="left" w:pos="367"/>
              </w:tabs>
              <w:ind w:left="367" w:hanging="367"/>
              <w:rPr>
                <w:rFonts w:ascii="Calibri" w:hAnsi="Calibri" w:cs="Calibri"/>
                <w:sz w:val="21"/>
                <w:szCs w:val="21"/>
              </w:rPr>
            </w:pPr>
            <w:r w:rsidRPr="00585D81">
              <w:rPr>
                <w:rFonts w:ascii="Calibri" w:hAnsi="Calibri" w:cs="Calibri"/>
                <w:sz w:val="21"/>
                <w:szCs w:val="21"/>
              </w:rPr>
              <w:t xml:space="preserve">Systems need to develop protocols for the selection and creation of accessible digital content and train teachers accordingly. The </w:t>
            </w:r>
            <w:hyperlink r:id="rId11" w:history="1">
              <w:r w:rsidRPr="00585D81">
                <w:rPr>
                  <w:rStyle w:val="Hyperlink"/>
                  <w:rFonts w:ascii="Calibri" w:hAnsi="Calibri" w:cs="Calibri"/>
                  <w:sz w:val="21"/>
                  <w:szCs w:val="21"/>
                </w:rPr>
                <w:t>AEM Center</w:t>
              </w:r>
            </w:hyperlink>
            <w:r w:rsidRPr="00585D81">
              <w:rPr>
                <w:rFonts w:ascii="Calibri" w:hAnsi="Calibri" w:cs="Calibri"/>
                <w:sz w:val="21"/>
                <w:szCs w:val="21"/>
              </w:rPr>
              <w:t xml:space="preserve"> provides tips and resources for teachers and school leaders for remote learning.</w:t>
            </w:r>
          </w:p>
          <w:p w14:paraId="00ECBA8B" w14:textId="77777777" w:rsidR="00111EBF" w:rsidRPr="00585D81" w:rsidRDefault="0048180D" w:rsidP="00111EBF">
            <w:pPr>
              <w:pStyle w:val="ListParagraph"/>
              <w:numPr>
                <w:ilvl w:val="0"/>
                <w:numId w:val="12"/>
              </w:numPr>
              <w:tabs>
                <w:tab w:val="left" w:pos="367"/>
              </w:tabs>
              <w:ind w:left="367" w:hanging="367"/>
              <w:rPr>
                <w:rFonts w:ascii="Calibri" w:hAnsi="Calibri" w:cs="Calibri"/>
                <w:sz w:val="21"/>
                <w:szCs w:val="21"/>
              </w:rPr>
            </w:pPr>
            <w:r w:rsidRPr="00585D81">
              <w:rPr>
                <w:rFonts w:ascii="Calibri" w:hAnsi="Calibri" w:cs="Calibri"/>
                <w:sz w:val="21"/>
                <w:szCs w:val="21"/>
              </w:rPr>
              <w:t>Consider grouping students for synchronous virtual instruction and social interaction opportunities who do not normally attend the same physical school but would benefit from such opportunities (e.g., a teacher of the Deaf could conduct a virtual small group with two hard-of-hearing students of the same grade and instructional level who don’t go to the same school; a Teacher of the Visually Impaired (TVI) might conduct a virtual “lunch bunch” or other session to address self-advocacy or social skills with students from several schools.</w:t>
            </w:r>
          </w:p>
        </w:tc>
      </w:tr>
      <w:tr w:rsidR="0048180D" w:rsidRPr="00585D81" w14:paraId="05B94AF1" w14:textId="77777777" w:rsidTr="000F6CBD">
        <w:trPr>
          <w:trHeight w:val="3456"/>
        </w:trPr>
        <w:tc>
          <w:tcPr>
            <w:tcW w:w="2755" w:type="dxa"/>
          </w:tcPr>
          <w:tbl>
            <w:tblPr>
              <w:tblW w:w="0" w:type="auto"/>
              <w:tblBorders>
                <w:top w:val="nil"/>
                <w:left w:val="nil"/>
                <w:bottom w:val="nil"/>
                <w:right w:val="nil"/>
              </w:tblBorders>
              <w:tblLook w:val="0000" w:firstRow="0" w:lastRow="0" w:firstColumn="0" w:lastColumn="0" w:noHBand="0" w:noVBand="0"/>
            </w:tblPr>
            <w:tblGrid>
              <w:gridCol w:w="2539"/>
            </w:tblGrid>
            <w:tr w:rsidR="0048180D" w:rsidRPr="00585D81" w14:paraId="0A5051C8" w14:textId="77777777">
              <w:trPr>
                <w:trHeight w:val="1627"/>
              </w:trPr>
              <w:tc>
                <w:tcPr>
                  <w:tcW w:w="0" w:type="auto"/>
                </w:tcPr>
                <w:p w14:paraId="33D6EB6F" w14:textId="77777777" w:rsidR="0048180D" w:rsidRPr="00585D81" w:rsidRDefault="0048180D" w:rsidP="0048180D">
                  <w:pPr>
                    <w:pStyle w:val="Default"/>
                    <w:rPr>
                      <w:b/>
                      <w:sz w:val="21"/>
                      <w:szCs w:val="21"/>
                    </w:rPr>
                  </w:pPr>
                  <w:r w:rsidRPr="00585D81">
                    <w:rPr>
                      <w:b/>
                      <w:sz w:val="21"/>
                      <w:szCs w:val="21"/>
                    </w:rPr>
                    <w:lastRenderedPageBreak/>
                    <w:t xml:space="preserve">Specialized Instructional Needs </w:t>
                  </w:r>
                </w:p>
                <w:p w14:paraId="5712E10B" w14:textId="77777777" w:rsidR="0048180D" w:rsidRPr="00585D81" w:rsidRDefault="0048180D" w:rsidP="0048180D">
                  <w:pPr>
                    <w:pStyle w:val="Default"/>
                    <w:rPr>
                      <w:sz w:val="21"/>
                      <w:szCs w:val="21"/>
                    </w:rPr>
                  </w:pPr>
                  <w:r w:rsidRPr="00585D81">
                    <w:rPr>
                      <w:sz w:val="21"/>
                      <w:szCs w:val="21"/>
                    </w:rPr>
                    <w:t xml:space="preserve">Planning for the specific instructional needs of students who are Blind, Low-Vision, Deaf, Hard-of-Hearing, or </w:t>
                  </w:r>
                  <w:r w:rsidR="00BF14CF" w:rsidRPr="00585D81">
                    <w:rPr>
                      <w:sz w:val="21"/>
                      <w:szCs w:val="21"/>
                    </w:rPr>
                    <w:t>Deaf/Blind</w:t>
                  </w:r>
                  <w:r w:rsidRPr="00585D81">
                    <w:rPr>
                      <w:sz w:val="21"/>
                      <w:szCs w:val="21"/>
                    </w:rPr>
                    <w:t xml:space="preserve"> will allow enhanced virtual supports and prepare for a return to the school building. </w:t>
                  </w:r>
                </w:p>
              </w:tc>
            </w:tr>
          </w:tbl>
          <w:p w14:paraId="465E1B4E" w14:textId="77777777" w:rsidR="0048180D" w:rsidRPr="00585D81" w:rsidRDefault="0048180D" w:rsidP="0048180D">
            <w:pPr>
              <w:tabs>
                <w:tab w:val="left" w:pos="1560"/>
              </w:tabs>
              <w:rPr>
                <w:rFonts w:ascii="Calibri" w:hAnsi="Calibri" w:cs="Calibri"/>
                <w:b/>
                <w:sz w:val="21"/>
                <w:szCs w:val="21"/>
              </w:rPr>
            </w:pPr>
          </w:p>
        </w:tc>
        <w:tc>
          <w:tcPr>
            <w:tcW w:w="7171" w:type="dxa"/>
          </w:tcPr>
          <w:p w14:paraId="234A5B46"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Support IEP teams to consider the unique learning needs of each student as it relates to their specially designed instructional goals, accommodations, supplemental aids and services.</w:t>
            </w:r>
          </w:p>
          <w:p w14:paraId="769C6165"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Consider alternatives for orientation and mobility services, if off-campus travel is not possible.</w:t>
            </w:r>
          </w:p>
          <w:p w14:paraId="68515F24"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Identify strategies for providing instruction and practice on expanded core curriculum goals (e.g., self-advocacy, technology use, independence) in the virtual setting and when in school buildings.</w:t>
            </w:r>
          </w:p>
          <w:p w14:paraId="14BBE73C"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Develop virtual (synchronous and/or asynchronous) options for family support, ASL classes for parents/caregivers, parent coaching on instructional and behavioral support strategies, etc.</w:t>
            </w:r>
          </w:p>
          <w:p w14:paraId="07A2A5A4" w14:textId="77777777" w:rsidR="0048180D" w:rsidRPr="00585D81" w:rsidRDefault="0048180D" w:rsidP="0048180D">
            <w:pPr>
              <w:pStyle w:val="ListParagraph"/>
              <w:numPr>
                <w:ilvl w:val="0"/>
                <w:numId w:val="12"/>
              </w:numPr>
              <w:tabs>
                <w:tab w:val="left" w:pos="367"/>
              </w:tabs>
              <w:ind w:left="367"/>
              <w:rPr>
                <w:rFonts w:ascii="Calibri" w:hAnsi="Calibri" w:cs="Calibri"/>
                <w:sz w:val="21"/>
                <w:szCs w:val="21"/>
              </w:rPr>
            </w:pPr>
            <w:r w:rsidRPr="00585D81">
              <w:rPr>
                <w:rFonts w:ascii="Calibri" w:hAnsi="Calibri" w:cs="Calibri"/>
                <w:sz w:val="21"/>
                <w:szCs w:val="21"/>
              </w:rPr>
              <w:t>Take advantage of creative methods to engage and support families who may not have been able to participate in traditional, in-person events.</w:t>
            </w:r>
          </w:p>
        </w:tc>
      </w:tr>
    </w:tbl>
    <w:p w14:paraId="307CA22B" w14:textId="77777777" w:rsidR="00111EBF" w:rsidRPr="00585D81" w:rsidRDefault="00111EBF" w:rsidP="003A46E4">
      <w:pPr>
        <w:rPr>
          <w:rFonts w:ascii="Calibri" w:hAnsi="Calibri" w:cs="Calibri"/>
          <w:sz w:val="21"/>
          <w:szCs w:val="21"/>
        </w:rPr>
      </w:pPr>
    </w:p>
    <w:p w14:paraId="31FF6E8C" w14:textId="31C8B194" w:rsidR="00585D81" w:rsidRDefault="00585D81">
      <w:pPr>
        <w:rPr>
          <w:rFonts w:asciiTheme="minorHAnsi" w:hAnsiTheme="minorHAnsi" w:cstheme="minorHAnsi"/>
          <w:sz w:val="22"/>
          <w:szCs w:val="22"/>
        </w:rPr>
      </w:pPr>
      <w:r>
        <w:rPr>
          <w:rFonts w:asciiTheme="minorHAnsi" w:hAnsiTheme="minorHAnsi" w:cstheme="minorHAnsi"/>
          <w:sz w:val="22"/>
          <w:szCs w:val="22"/>
        </w:rPr>
        <w:br w:type="page"/>
      </w:r>
    </w:p>
    <w:p w14:paraId="7B513CED" w14:textId="77777777" w:rsidR="00585D81" w:rsidRPr="00CB2683" w:rsidRDefault="00585D81" w:rsidP="00585D81">
      <w:pPr>
        <w:rPr>
          <w:rFonts w:asciiTheme="minorHAnsi" w:hAnsiTheme="minorHAnsi" w:cstheme="minorHAnsi"/>
          <w:sz w:val="22"/>
          <w:szCs w:val="22"/>
        </w:rPr>
      </w:pPr>
    </w:p>
    <w:p w14:paraId="2F40ACBA" w14:textId="77777777" w:rsidR="00585D81" w:rsidRPr="00CB2683" w:rsidRDefault="00585D81" w:rsidP="00585D81">
      <w:pPr>
        <w:pBdr>
          <w:top w:val="single" w:sz="4" w:space="1" w:color="auto"/>
        </w:pBdr>
        <w:jc w:val="both"/>
        <w:rPr>
          <w:rFonts w:asciiTheme="minorHAnsi" w:hAnsiTheme="minorHAnsi" w:cstheme="minorHAnsi"/>
          <w:sz w:val="16"/>
          <w:szCs w:val="16"/>
        </w:rPr>
      </w:pPr>
    </w:p>
    <w:p w14:paraId="5F2F3A6E"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31E16627"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p>
    <w:p w14:paraId="2F18B7FE"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62574C3C"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p>
    <w:p w14:paraId="4A148625" w14:textId="77777777" w:rsidR="00585D81" w:rsidRPr="00227CF7" w:rsidRDefault="00585D81" w:rsidP="00585D8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106B05F2"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p>
    <w:p w14:paraId="74CFD9D8" w14:textId="77777777" w:rsidR="00585D81" w:rsidRPr="00227CF7" w:rsidRDefault="00585D81" w:rsidP="00585D8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64E537DD"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p>
    <w:p w14:paraId="489D17FD"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4DAE24AB"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p>
    <w:p w14:paraId="2CC19335" w14:textId="77777777" w:rsidR="00585D81" w:rsidRPr="00227CF7" w:rsidRDefault="00585D81" w:rsidP="00585D81">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19391EFD"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p>
    <w:p w14:paraId="3F66955E" w14:textId="77777777" w:rsidR="00585D81" w:rsidRPr="00227CF7" w:rsidRDefault="00585D81" w:rsidP="00585D81">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5D7D1F99" w14:textId="77777777" w:rsidR="00585D81" w:rsidRPr="00227CF7" w:rsidRDefault="00585D81" w:rsidP="00585D81">
      <w:pPr>
        <w:autoSpaceDE w:val="0"/>
        <w:autoSpaceDN w:val="0"/>
        <w:adjustRightInd w:val="0"/>
        <w:ind w:right="-414"/>
        <w:rPr>
          <w:rFonts w:asciiTheme="minorHAnsi" w:hAnsiTheme="minorHAnsi" w:cstheme="minorHAnsi"/>
          <w:sz w:val="16"/>
          <w:szCs w:val="16"/>
        </w:rPr>
      </w:pPr>
    </w:p>
    <w:p w14:paraId="2432125E" w14:textId="77777777" w:rsidR="00585D81" w:rsidRPr="00227CF7" w:rsidRDefault="00585D81" w:rsidP="00585D81">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2FF75533" w14:textId="77777777" w:rsidR="00585D81" w:rsidRPr="00227CF7" w:rsidRDefault="00585D81" w:rsidP="00585D81">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3E8C5015" w14:textId="77777777" w:rsidR="00585D81" w:rsidRPr="00227CF7" w:rsidRDefault="00000000" w:rsidP="00585D81">
      <w:pPr>
        <w:autoSpaceDE w:val="0"/>
        <w:autoSpaceDN w:val="0"/>
        <w:adjustRightInd w:val="0"/>
        <w:ind w:right="-720"/>
        <w:rPr>
          <w:rFonts w:asciiTheme="minorHAnsi" w:hAnsiTheme="minorHAnsi" w:cstheme="minorHAnsi"/>
          <w:color w:val="0563C1"/>
          <w:sz w:val="16"/>
          <w:szCs w:val="16"/>
          <w:u w:val="single" w:color="0563C1"/>
        </w:rPr>
      </w:pPr>
      <w:hyperlink r:id="rId12" w:history="1">
        <w:r w:rsidR="00585D81" w:rsidRPr="00227CF7">
          <w:rPr>
            <w:rFonts w:asciiTheme="minorHAnsi" w:hAnsiTheme="minorHAnsi" w:cstheme="minorHAnsi"/>
            <w:color w:val="0563C1"/>
            <w:sz w:val="16"/>
            <w:szCs w:val="16"/>
            <w:u w:val="single" w:color="0563C1"/>
          </w:rPr>
          <w:t>MarylandPublicSchools.org</w:t>
        </w:r>
      </w:hyperlink>
    </w:p>
    <w:p w14:paraId="27E90534" w14:textId="77777777" w:rsidR="00585D81" w:rsidRPr="00227CF7" w:rsidRDefault="00000000" w:rsidP="00585D81">
      <w:pPr>
        <w:autoSpaceDE w:val="0"/>
        <w:autoSpaceDN w:val="0"/>
        <w:adjustRightInd w:val="0"/>
        <w:ind w:right="-720"/>
        <w:rPr>
          <w:rFonts w:asciiTheme="minorHAnsi" w:hAnsiTheme="minorHAnsi" w:cstheme="minorHAnsi"/>
          <w:sz w:val="16"/>
          <w:szCs w:val="16"/>
        </w:rPr>
      </w:pPr>
      <w:hyperlink r:id="rId13" w:history="1">
        <w:r w:rsidR="00585D81" w:rsidRPr="00227CF7">
          <w:rPr>
            <w:rStyle w:val="Hyperlink"/>
            <w:rFonts w:asciiTheme="minorHAnsi" w:hAnsiTheme="minorHAnsi" w:cstheme="minorHAnsi"/>
            <w:sz w:val="16"/>
            <w:szCs w:val="16"/>
          </w:rPr>
          <w:t>MarylandLearningLinks.org</w:t>
        </w:r>
      </w:hyperlink>
    </w:p>
    <w:p w14:paraId="5C0758DF" w14:textId="49F0B292" w:rsidR="00E945B0" w:rsidRPr="00E945B0" w:rsidRDefault="00E945B0" w:rsidP="00585D81">
      <w:pPr>
        <w:rPr>
          <w:rFonts w:ascii="Calibri" w:hAnsi="Calibri" w:cs="Calibri"/>
          <w:sz w:val="16"/>
          <w:szCs w:val="16"/>
        </w:rPr>
      </w:pPr>
    </w:p>
    <w:sectPr w:rsidR="00E945B0" w:rsidRPr="00E945B0" w:rsidSect="00F26CE6">
      <w:headerReference w:type="default" r:id="rId14"/>
      <w:footerReference w:type="even" r:id="rId15"/>
      <w:footerReference w:type="default" r:id="rId16"/>
      <w:footerReference w:type="first" r:id="rId17"/>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4E34" w14:textId="77777777" w:rsidR="00272D0F" w:rsidRDefault="00272D0F">
      <w:r>
        <w:separator/>
      </w:r>
    </w:p>
  </w:endnote>
  <w:endnote w:type="continuationSeparator" w:id="0">
    <w:p w14:paraId="312BA76D" w14:textId="77777777" w:rsidR="00272D0F" w:rsidRDefault="0027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12A7937C"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D1BCC9"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23B681BC"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2B9BCD1C"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1E80" w14:textId="5BB2E10E"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3810FA">
      <w:rPr>
        <w:rFonts w:ascii="Calibri" w:hAnsi="Calibri" w:cs="Calibri"/>
        <w:sz w:val="14"/>
        <w:szCs w:val="14"/>
        <w:lang w:val="en-US"/>
      </w:rPr>
      <w:t xml:space="preserve">2 </w:t>
    </w:r>
    <w:r w:rsidRPr="009F7127">
      <w:rPr>
        <w:rFonts w:ascii="Calibri" w:hAnsi="Calibri" w:cs="Calibri"/>
        <w:sz w:val="14"/>
        <w:szCs w:val="14"/>
      </w:rPr>
      <w:t>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 xml:space="preserve">Marcella E. </w:t>
    </w:r>
    <w:proofErr w:type="spellStart"/>
    <w:r w:rsidRPr="009F7127">
      <w:rPr>
        <w:rFonts w:ascii="Calibri" w:hAnsi="Calibri" w:cs="Calibri"/>
        <w:sz w:val="14"/>
        <w:szCs w:val="14"/>
      </w:rPr>
      <w:t>Franczkowski</w:t>
    </w:r>
    <w:proofErr w:type="spellEnd"/>
    <w:r w:rsidRPr="009F7127">
      <w:rPr>
        <w:rFonts w:ascii="Calibri" w:hAnsi="Calibri" w:cs="Calibri"/>
        <w:sz w:val="14"/>
        <w:szCs w:val="14"/>
      </w:rPr>
      <w:t>,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D112" w14:textId="77777777" w:rsidR="00272D0F" w:rsidRDefault="00272D0F">
      <w:r>
        <w:separator/>
      </w:r>
    </w:p>
  </w:footnote>
  <w:footnote w:type="continuationSeparator" w:id="0">
    <w:p w14:paraId="5646C70F" w14:textId="77777777" w:rsidR="00272D0F" w:rsidRDefault="0027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ACDC" w14:textId="77777777" w:rsidR="003A46E4" w:rsidRDefault="003A46E4">
    <w:pPr>
      <w:pStyle w:val="Header"/>
      <w:rPr>
        <w:rFonts w:ascii="Calibri" w:hAnsi="Calibri" w:cs="Calibri"/>
        <w:b/>
        <w:sz w:val="22"/>
        <w:szCs w:val="22"/>
        <w:lang w:val="en-US"/>
      </w:rPr>
    </w:pPr>
  </w:p>
  <w:p w14:paraId="172B6FDB"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786EE8D1"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51E685F9" w14:textId="1737128F" w:rsidR="00BF14CF" w:rsidRPr="00BF14CF" w:rsidRDefault="00BF14CF" w:rsidP="00BF14CF">
    <w:pPr>
      <w:pStyle w:val="Header"/>
      <w:rPr>
        <w:rFonts w:ascii="Calibri" w:hAnsi="Calibri" w:cs="Calibri"/>
        <w:b/>
        <w:i/>
        <w:sz w:val="20"/>
        <w:szCs w:val="20"/>
      </w:rPr>
    </w:pPr>
    <w:r w:rsidRPr="00BF14CF">
      <w:rPr>
        <w:rFonts w:ascii="Calibri" w:hAnsi="Calibri" w:cs="Calibri"/>
        <w:b/>
        <w:i/>
        <w:sz w:val="20"/>
        <w:szCs w:val="20"/>
      </w:rPr>
      <w:t>TIPs for Planning for Students who are Blind, Low-Vision, Deaf, Hard-of-Hearing, and Deaf/Blind</w:t>
    </w:r>
  </w:p>
  <w:p w14:paraId="13AE789A"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412B7"/>
    <w:multiLevelType w:val="hybridMultilevel"/>
    <w:tmpl w:val="70586898"/>
    <w:lvl w:ilvl="0" w:tplc="E8A8F244">
      <w:numFmt w:val="bullet"/>
      <w:lvlText w:val="•"/>
      <w:lvlJc w:val="left"/>
      <w:pPr>
        <w:ind w:left="1920" w:hanging="15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B6BDD"/>
    <w:multiLevelType w:val="hybridMultilevel"/>
    <w:tmpl w:val="A676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A3C50"/>
    <w:multiLevelType w:val="hybridMultilevel"/>
    <w:tmpl w:val="F226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225754">
    <w:abstractNumId w:val="0"/>
  </w:num>
  <w:num w:numId="2" w16cid:durableId="337536479">
    <w:abstractNumId w:val="1"/>
  </w:num>
  <w:num w:numId="3" w16cid:durableId="1761758550">
    <w:abstractNumId w:val="13"/>
  </w:num>
  <w:num w:numId="4" w16cid:durableId="1905948137">
    <w:abstractNumId w:val="12"/>
  </w:num>
  <w:num w:numId="5" w16cid:durableId="489716968">
    <w:abstractNumId w:val="5"/>
  </w:num>
  <w:num w:numId="6" w16cid:durableId="368535909">
    <w:abstractNumId w:val="4"/>
  </w:num>
  <w:num w:numId="7" w16cid:durableId="1406882541">
    <w:abstractNumId w:val="9"/>
  </w:num>
  <w:num w:numId="8" w16cid:durableId="1399014150">
    <w:abstractNumId w:val="11"/>
  </w:num>
  <w:num w:numId="9" w16cid:durableId="1717781337">
    <w:abstractNumId w:val="7"/>
  </w:num>
  <w:num w:numId="10" w16cid:durableId="1197229436">
    <w:abstractNumId w:val="6"/>
  </w:num>
  <w:num w:numId="11" w16cid:durableId="2055305943">
    <w:abstractNumId w:val="8"/>
  </w:num>
  <w:num w:numId="12" w16cid:durableId="1134252605">
    <w:abstractNumId w:val="10"/>
  </w:num>
  <w:num w:numId="13" w16cid:durableId="1014113550">
    <w:abstractNumId w:val="3"/>
  </w:num>
  <w:num w:numId="14" w16cid:durableId="1763453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R+QMiqILEIeAmzEcl/ygynQo5Qb/Q+9qHsHn7rrJWgJcZ2D/O3iXBWxg9W2heA7r+xmviMM8k8HS5d4JI3OJEA==" w:salt="PGjDKZzIdVBI5C8Yx3ZNKg=="/>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B"/>
    <w:rsid w:val="0000587D"/>
    <w:rsid w:val="000117F8"/>
    <w:rsid w:val="00016131"/>
    <w:rsid w:val="0001631B"/>
    <w:rsid w:val="00022AEF"/>
    <w:rsid w:val="00024D65"/>
    <w:rsid w:val="00026103"/>
    <w:rsid w:val="00034454"/>
    <w:rsid w:val="000359A6"/>
    <w:rsid w:val="00040958"/>
    <w:rsid w:val="00041010"/>
    <w:rsid w:val="00043545"/>
    <w:rsid w:val="00053A60"/>
    <w:rsid w:val="00084133"/>
    <w:rsid w:val="00084FA1"/>
    <w:rsid w:val="00085F48"/>
    <w:rsid w:val="00094CC5"/>
    <w:rsid w:val="00095A3A"/>
    <w:rsid w:val="000A08B6"/>
    <w:rsid w:val="000B1BE8"/>
    <w:rsid w:val="000C1E92"/>
    <w:rsid w:val="000C5D74"/>
    <w:rsid w:val="000C6495"/>
    <w:rsid w:val="000D03AC"/>
    <w:rsid w:val="000E382A"/>
    <w:rsid w:val="000E4CA8"/>
    <w:rsid w:val="000E6336"/>
    <w:rsid w:val="000F390B"/>
    <w:rsid w:val="000F47E3"/>
    <w:rsid w:val="000F6CBD"/>
    <w:rsid w:val="000F7B5F"/>
    <w:rsid w:val="00111EBF"/>
    <w:rsid w:val="001204ED"/>
    <w:rsid w:val="0012789B"/>
    <w:rsid w:val="00127DF5"/>
    <w:rsid w:val="00130E09"/>
    <w:rsid w:val="00134330"/>
    <w:rsid w:val="00146326"/>
    <w:rsid w:val="00152448"/>
    <w:rsid w:val="001540A1"/>
    <w:rsid w:val="0016001C"/>
    <w:rsid w:val="00176EF0"/>
    <w:rsid w:val="00194916"/>
    <w:rsid w:val="00195716"/>
    <w:rsid w:val="001A27E3"/>
    <w:rsid w:val="001B3725"/>
    <w:rsid w:val="001C18F5"/>
    <w:rsid w:val="001D2E3F"/>
    <w:rsid w:val="001E2982"/>
    <w:rsid w:val="001E731C"/>
    <w:rsid w:val="00204790"/>
    <w:rsid w:val="00213DCE"/>
    <w:rsid w:val="002228AC"/>
    <w:rsid w:val="00230CF8"/>
    <w:rsid w:val="00234785"/>
    <w:rsid w:val="00243A2C"/>
    <w:rsid w:val="002505C1"/>
    <w:rsid w:val="00257077"/>
    <w:rsid w:val="002616D9"/>
    <w:rsid w:val="00261E49"/>
    <w:rsid w:val="00272D0F"/>
    <w:rsid w:val="002771C2"/>
    <w:rsid w:val="00277D57"/>
    <w:rsid w:val="00292281"/>
    <w:rsid w:val="0029661D"/>
    <w:rsid w:val="002A6139"/>
    <w:rsid w:val="002F1C16"/>
    <w:rsid w:val="002F274D"/>
    <w:rsid w:val="00302526"/>
    <w:rsid w:val="00306225"/>
    <w:rsid w:val="003153BC"/>
    <w:rsid w:val="00315AC3"/>
    <w:rsid w:val="00325660"/>
    <w:rsid w:val="0032793D"/>
    <w:rsid w:val="0032799B"/>
    <w:rsid w:val="003459AD"/>
    <w:rsid w:val="0034711A"/>
    <w:rsid w:val="00355F0E"/>
    <w:rsid w:val="00355F4F"/>
    <w:rsid w:val="00375675"/>
    <w:rsid w:val="003810FA"/>
    <w:rsid w:val="00391724"/>
    <w:rsid w:val="00395D7B"/>
    <w:rsid w:val="003A46E4"/>
    <w:rsid w:val="003C5ACA"/>
    <w:rsid w:val="003D034A"/>
    <w:rsid w:val="003D09AB"/>
    <w:rsid w:val="003D42BB"/>
    <w:rsid w:val="003D569F"/>
    <w:rsid w:val="00412FD1"/>
    <w:rsid w:val="0041562E"/>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8180D"/>
    <w:rsid w:val="00490903"/>
    <w:rsid w:val="00494899"/>
    <w:rsid w:val="00495278"/>
    <w:rsid w:val="004A20ED"/>
    <w:rsid w:val="004A5C83"/>
    <w:rsid w:val="004C2157"/>
    <w:rsid w:val="004D66E8"/>
    <w:rsid w:val="004E4BBF"/>
    <w:rsid w:val="004F16BF"/>
    <w:rsid w:val="004F2BB1"/>
    <w:rsid w:val="00505223"/>
    <w:rsid w:val="005066D7"/>
    <w:rsid w:val="00507ACB"/>
    <w:rsid w:val="00514010"/>
    <w:rsid w:val="00520DAC"/>
    <w:rsid w:val="005401C8"/>
    <w:rsid w:val="00542418"/>
    <w:rsid w:val="00544EC7"/>
    <w:rsid w:val="005506AF"/>
    <w:rsid w:val="0056321E"/>
    <w:rsid w:val="00585D81"/>
    <w:rsid w:val="0059001E"/>
    <w:rsid w:val="00591EC0"/>
    <w:rsid w:val="00594263"/>
    <w:rsid w:val="00595B56"/>
    <w:rsid w:val="005A0930"/>
    <w:rsid w:val="005B1D3A"/>
    <w:rsid w:val="005B2495"/>
    <w:rsid w:val="005B6A40"/>
    <w:rsid w:val="005C4125"/>
    <w:rsid w:val="005C4E18"/>
    <w:rsid w:val="005D0760"/>
    <w:rsid w:val="005D5075"/>
    <w:rsid w:val="005D5F3D"/>
    <w:rsid w:val="005E756E"/>
    <w:rsid w:val="005F09A0"/>
    <w:rsid w:val="0060055D"/>
    <w:rsid w:val="00601388"/>
    <w:rsid w:val="00605E67"/>
    <w:rsid w:val="00607595"/>
    <w:rsid w:val="00614CA9"/>
    <w:rsid w:val="0061570D"/>
    <w:rsid w:val="006215E7"/>
    <w:rsid w:val="00637605"/>
    <w:rsid w:val="00643BD2"/>
    <w:rsid w:val="00646424"/>
    <w:rsid w:val="00653A03"/>
    <w:rsid w:val="00655AD0"/>
    <w:rsid w:val="006579A8"/>
    <w:rsid w:val="00660141"/>
    <w:rsid w:val="006621A1"/>
    <w:rsid w:val="006637BE"/>
    <w:rsid w:val="00666BD4"/>
    <w:rsid w:val="00680846"/>
    <w:rsid w:val="00680EE7"/>
    <w:rsid w:val="00686BD4"/>
    <w:rsid w:val="00693313"/>
    <w:rsid w:val="00697D98"/>
    <w:rsid w:val="006A32E7"/>
    <w:rsid w:val="006A53F2"/>
    <w:rsid w:val="006A7D47"/>
    <w:rsid w:val="006B5ABD"/>
    <w:rsid w:val="006C0E5A"/>
    <w:rsid w:val="006C5760"/>
    <w:rsid w:val="006C7039"/>
    <w:rsid w:val="006D6472"/>
    <w:rsid w:val="006E4B5F"/>
    <w:rsid w:val="006F24EC"/>
    <w:rsid w:val="00702805"/>
    <w:rsid w:val="00712C78"/>
    <w:rsid w:val="007157C3"/>
    <w:rsid w:val="0074022A"/>
    <w:rsid w:val="00741124"/>
    <w:rsid w:val="007415F6"/>
    <w:rsid w:val="00742130"/>
    <w:rsid w:val="007475A7"/>
    <w:rsid w:val="00756DF9"/>
    <w:rsid w:val="00762A3B"/>
    <w:rsid w:val="0076441C"/>
    <w:rsid w:val="0076783E"/>
    <w:rsid w:val="00770EBE"/>
    <w:rsid w:val="00774632"/>
    <w:rsid w:val="00777ECA"/>
    <w:rsid w:val="00782EF2"/>
    <w:rsid w:val="007A13D0"/>
    <w:rsid w:val="007A2ED7"/>
    <w:rsid w:val="007B2E33"/>
    <w:rsid w:val="007B4C08"/>
    <w:rsid w:val="007B7371"/>
    <w:rsid w:val="007C6CB8"/>
    <w:rsid w:val="007C7CF7"/>
    <w:rsid w:val="007D154B"/>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3DF"/>
    <w:rsid w:val="00871E41"/>
    <w:rsid w:val="008732F7"/>
    <w:rsid w:val="008762B7"/>
    <w:rsid w:val="00882A7B"/>
    <w:rsid w:val="00896286"/>
    <w:rsid w:val="008A739E"/>
    <w:rsid w:val="008B6600"/>
    <w:rsid w:val="008C591B"/>
    <w:rsid w:val="008C67D4"/>
    <w:rsid w:val="008D1A9B"/>
    <w:rsid w:val="008D7D3D"/>
    <w:rsid w:val="008E1EEC"/>
    <w:rsid w:val="008F15F8"/>
    <w:rsid w:val="008F4160"/>
    <w:rsid w:val="008F55DD"/>
    <w:rsid w:val="009002FC"/>
    <w:rsid w:val="00903943"/>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F2BE7"/>
    <w:rsid w:val="009F7127"/>
    <w:rsid w:val="00A035F6"/>
    <w:rsid w:val="00A0372C"/>
    <w:rsid w:val="00A047B2"/>
    <w:rsid w:val="00A11930"/>
    <w:rsid w:val="00A143AC"/>
    <w:rsid w:val="00A23804"/>
    <w:rsid w:val="00A264F3"/>
    <w:rsid w:val="00A30AD5"/>
    <w:rsid w:val="00A3692D"/>
    <w:rsid w:val="00A46783"/>
    <w:rsid w:val="00A539D5"/>
    <w:rsid w:val="00A55EE6"/>
    <w:rsid w:val="00A63ECC"/>
    <w:rsid w:val="00A76F89"/>
    <w:rsid w:val="00A8678C"/>
    <w:rsid w:val="00A966C4"/>
    <w:rsid w:val="00AA2D0D"/>
    <w:rsid w:val="00AB333B"/>
    <w:rsid w:val="00AB4D0D"/>
    <w:rsid w:val="00AB7091"/>
    <w:rsid w:val="00AB71D1"/>
    <w:rsid w:val="00AC7D12"/>
    <w:rsid w:val="00AD7D70"/>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A0326"/>
    <w:rsid w:val="00BA1EC8"/>
    <w:rsid w:val="00BA4DD0"/>
    <w:rsid w:val="00BA5530"/>
    <w:rsid w:val="00BD35E3"/>
    <w:rsid w:val="00BF14CF"/>
    <w:rsid w:val="00C13233"/>
    <w:rsid w:val="00C17D2B"/>
    <w:rsid w:val="00C17E60"/>
    <w:rsid w:val="00C21CFA"/>
    <w:rsid w:val="00C276A3"/>
    <w:rsid w:val="00C30F2C"/>
    <w:rsid w:val="00C32B9B"/>
    <w:rsid w:val="00C41105"/>
    <w:rsid w:val="00C46D44"/>
    <w:rsid w:val="00C56748"/>
    <w:rsid w:val="00C64A95"/>
    <w:rsid w:val="00C75F1B"/>
    <w:rsid w:val="00C76522"/>
    <w:rsid w:val="00C82712"/>
    <w:rsid w:val="00C84747"/>
    <w:rsid w:val="00C95959"/>
    <w:rsid w:val="00CA00B7"/>
    <w:rsid w:val="00CA48FD"/>
    <w:rsid w:val="00CA5C97"/>
    <w:rsid w:val="00CA6107"/>
    <w:rsid w:val="00CA6385"/>
    <w:rsid w:val="00CB76B5"/>
    <w:rsid w:val="00CC28FE"/>
    <w:rsid w:val="00CC4E3A"/>
    <w:rsid w:val="00CC69FD"/>
    <w:rsid w:val="00CE0A2C"/>
    <w:rsid w:val="00CE5EF6"/>
    <w:rsid w:val="00CF69ED"/>
    <w:rsid w:val="00CF77C2"/>
    <w:rsid w:val="00D003A3"/>
    <w:rsid w:val="00D02A3E"/>
    <w:rsid w:val="00D034D4"/>
    <w:rsid w:val="00D13E8D"/>
    <w:rsid w:val="00D204E5"/>
    <w:rsid w:val="00D34089"/>
    <w:rsid w:val="00D34C6F"/>
    <w:rsid w:val="00D47AF3"/>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277EC"/>
    <w:rsid w:val="00E30234"/>
    <w:rsid w:val="00E33B12"/>
    <w:rsid w:val="00E37A31"/>
    <w:rsid w:val="00E41C8A"/>
    <w:rsid w:val="00E46BCB"/>
    <w:rsid w:val="00E470A7"/>
    <w:rsid w:val="00E477D8"/>
    <w:rsid w:val="00E61271"/>
    <w:rsid w:val="00E66072"/>
    <w:rsid w:val="00E66132"/>
    <w:rsid w:val="00E71388"/>
    <w:rsid w:val="00E73260"/>
    <w:rsid w:val="00E93E42"/>
    <w:rsid w:val="00E945B0"/>
    <w:rsid w:val="00E9507D"/>
    <w:rsid w:val="00E96856"/>
    <w:rsid w:val="00EC3AC3"/>
    <w:rsid w:val="00EC4CD7"/>
    <w:rsid w:val="00EE0FDD"/>
    <w:rsid w:val="00EE54A6"/>
    <w:rsid w:val="00EF20FD"/>
    <w:rsid w:val="00EF2B17"/>
    <w:rsid w:val="00F05A45"/>
    <w:rsid w:val="00F13AC9"/>
    <w:rsid w:val="00F26CE6"/>
    <w:rsid w:val="00F32ADD"/>
    <w:rsid w:val="00F41925"/>
    <w:rsid w:val="00F45CC6"/>
    <w:rsid w:val="00F464BD"/>
    <w:rsid w:val="00F50107"/>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66951"/>
  <w15:docId w15:val="{A904D8CB-E774-DF4E-9A3D-A139D85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paragraph" w:customStyle="1" w:styleId="Default">
    <w:name w:val="Default"/>
    <w:rsid w:val="00C17D2B"/>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2228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ylandlearninglinks.or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marylandpublicschools.org/Programs/Pages/Special-Education/index.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em.cast.org/about/aem-center-covid-19-resourc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tionaldeafcenter.org/covid19faq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240767-1115-334C-B9FE-2DFAEF894E89}">
  <ds:schemaRefs>
    <ds:schemaRef ds:uri="http://schemas.openxmlformats.org/officeDocument/2006/bibliography"/>
  </ds:schemaRefs>
</ds:datastoreItem>
</file>

<file path=customXml/itemProps2.xml><?xml version="1.0" encoding="utf-8"?>
<ds:datastoreItem xmlns:ds="http://schemas.openxmlformats.org/officeDocument/2006/customXml" ds:itemID="{242A2165-7795-4490-87AF-F5006F6BE735}"/>
</file>

<file path=customXml/itemProps3.xml><?xml version="1.0" encoding="utf-8"?>
<ds:datastoreItem xmlns:ds="http://schemas.openxmlformats.org/officeDocument/2006/customXml" ds:itemID="{A937DC3B-ACF9-4670-8B2C-9F21693F6657}"/>
</file>

<file path=customXml/itemProps4.xml><?xml version="1.0" encoding="utf-8"?>
<ds:datastoreItem xmlns:ds="http://schemas.openxmlformats.org/officeDocument/2006/customXml" ds:itemID="{92DF4827-142B-42DE-9AC6-BCEBA02A7A60}"/>
</file>

<file path=docProps/app.xml><?xml version="1.0" encoding="utf-8"?>
<Properties xmlns="http://schemas.openxmlformats.org/officeDocument/2006/extended-properties" xmlns:vt="http://schemas.openxmlformats.org/officeDocument/2006/docPropsVTypes">
  <Template>DEISES_TIPsDocuments.dotx</Template>
  <TotalTime>0</TotalTime>
  <Pages>4</Pages>
  <Words>1238</Words>
  <Characters>7062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TIPs for Recovery Planning for Students who are Blind, Low-Vision, Deaf, Hard-of-Hearing, and Deaf/Blind  </vt:lpstr>
    </vt:vector>
  </TitlesOfParts>
  <Manager>Marcella Franczkowski</Manager>
  <Company>MSDE</Company>
  <LinksUpToDate>false</LinksUpToDate>
  <CharactersWithSpaces>8284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Recovery Planning for Students who are Blind, Low-Vision, Deaf, Hard-of-Hearing, and Deaf/Blind  </dc:title>
  <dc:subject>TIPs for Recovery Planning for Students who are Blind, Low-Vision, Deaf, Hard-of-Hearing, and Deaf/Blind</dc:subject>
  <dc:creator>Brian Morrison</dc:creator>
  <cp:keywords/>
  <dc:description/>
  <cp:lastModifiedBy>Brian Morrison</cp:lastModifiedBy>
  <cp:revision>2</cp:revision>
  <cp:lastPrinted>2019-08-05T12:44:00Z</cp:lastPrinted>
  <dcterms:created xsi:type="dcterms:W3CDTF">2022-08-22T14:51:00Z</dcterms:created>
  <dcterms:modified xsi:type="dcterms:W3CDTF">2022-08-22T14:51:00Z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