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9E4D" w14:textId="4EFE7850" w:rsidR="000F47E3" w:rsidRPr="007D154B" w:rsidRDefault="00FB2DB0" w:rsidP="00E93ED0">
      <w:pPr>
        <w:ind w:right="36"/>
        <w:jc w:val="center"/>
        <w:rPr>
          <w:rFonts w:ascii="Cambria" w:eastAsia="Times" w:hAnsi="Cambria"/>
          <w:sz w:val="22"/>
          <w:szCs w:val="22"/>
        </w:rPr>
      </w:pPr>
      <w:r>
        <w:rPr>
          <w:noProof/>
        </w:rPr>
        <w:drawing>
          <wp:inline distT="0" distB="0" distL="0" distR="0" wp14:anchorId="1509533F" wp14:editId="135A6D7B">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6121D8B9" w14:textId="7E8C4240" w:rsidR="00660141" w:rsidRDefault="00E93ED0" w:rsidP="00E93ED0">
      <w:pPr>
        <w:tabs>
          <w:tab w:val="left" w:pos="1560"/>
        </w:tabs>
        <w:jc w:val="center"/>
        <w:rPr>
          <w:rFonts w:ascii="Cambria" w:hAnsi="Cambria"/>
          <w:b/>
          <w:color w:val="4472C4" w:themeColor="accent1"/>
          <w:sz w:val="32"/>
          <w:szCs w:val="32"/>
        </w:rPr>
      </w:pPr>
      <w:r w:rsidRPr="00660141">
        <w:rPr>
          <w:noProof/>
        </w:rPr>
        <w:drawing>
          <wp:inline distT="0" distB="0" distL="0" distR="0" wp14:anchorId="65D6980B" wp14:editId="6C1D857A">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2B5138D1" w14:textId="77777777" w:rsidR="004B038C" w:rsidRDefault="004B038C" w:rsidP="00E93ED0">
      <w:pPr>
        <w:tabs>
          <w:tab w:val="left" w:pos="1560"/>
        </w:tabs>
        <w:jc w:val="center"/>
        <w:rPr>
          <w:rFonts w:ascii="Calibri" w:hAnsi="Calibri" w:cs="Calibri"/>
          <w:b/>
          <w:color w:val="000000" w:themeColor="text1"/>
          <w:sz w:val="28"/>
          <w:szCs w:val="28"/>
        </w:rPr>
      </w:pPr>
    </w:p>
    <w:p w14:paraId="6A84087F" w14:textId="2A8AD66F" w:rsidR="0041562E" w:rsidRPr="004B038C" w:rsidRDefault="0041562E" w:rsidP="00E93ED0">
      <w:pPr>
        <w:tabs>
          <w:tab w:val="left" w:pos="1560"/>
        </w:tabs>
        <w:jc w:val="center"/>
        <w:rPr>
          <w:rFonts w:ascii="Calibri" w:hAnsi="Calibri" w:cs="Calibri"/>
          <w:b/>
          <w:color w:val="000000" w:themeColor="text1"/>
          <w:sz w:val="28"/>
          <w:szCs w:val="28"/>
        </w:rPr>
      </w:pPr>
      <w:r w:rsidRPr="004B038C">
        <w:rPr>
          <w:rFonts w:ascii="Calibri" w:hAnsi="Calibri" w:cs="Calibri"/>
          <w:b/>
          <w:color w:val="000000" w:themeColor="text1"/>
          <w:sz w:val="28"/>
          <w:szCs w:val="28"/>
        </w:rPr>
        <w:t>MARYLAND STATE DEPARTMENT OF EDUCATION</w:t>
      </w:r>
    </w:p>
    <w:p w14:paraId="6646E16D" w14:textId="77777777" w:rsidR="0041562E" w:rsidRPr="004B038C" w:rsidRDefault="0041562E" w:rsidP="0041562E">
      <w:pPr>
        <w:tabs>
          <w:tab w:val="left" w:pos="1560"/>
        </w:tabs>
        <w:jc w:val="center"/>
        <w:rPr>
          <w:rFonts w:ascii="Calibri" w:hAnsi="Calibri" w:cs="Calibri"/>
          <w:b/>
          <w:color w:val="000000" w:themeColor="text1"/>
          <w:sz w:val="28"/>
          <w:szCs w:val="28"/>
        </w:rPr>
      </w:pPr>
      <w:r w:rsidRPr="004B038C">
        <w:rPr>
          <w:rFonts w:ascii="Calibri" w:hAnsi="Calibri" w:cs="Calibri"/>
          <w:b/>
          <w:color w:val="000000" w:themeColor="text1"/>
          <w:sz w:val="28"/>
          <w:szCs w:val="28"/>
        </w:rPr>
        <w:t>Division of Early Intervention and Special Education Services</w:t>
      </w:r>
    </w:p>
    <w:p w14:paraId="48430503" w14:textId="77777777" w:rsidR="0041562E" w:rsidRPr="004B038C" w:rsidRDefault="0041562E" w:rsidP="0041562E">
      <w:pPr>
        <w:tabs>
          <w:tab w:val="left" w:pos="1560"/>
        </w:tabs>
        <w:jc w:val="center"/>
        <w:rPr>
          <w:rFonts w:ascii="Calibri" w:hAnsi="Calibri" w:cs="Calibri"/>
          <w:b/>
          <w:color w:val="048B3E"/>
          <w:sz w:val="28"/>
          <w:szCs w:val="28"/>
        </w:rPr>
      </w:pPr>
      <w:r w:rsidRPr="004B038C">
        <w:rPr>
          <w:rFonts w:ascii="Calibri" w:hAnsi="Calibri" w:cs="Calibri"/>
          <w:b/>
          <w:color w:val="048B3E"/>
          <w:sz w:val="28"/>
          <w:szCs w:val="28"/>
        </w:rPr>
        <w:t>IMPLEMENTATION BEST PRACTICES &amp; CONSIDERATIONS</w:t>
      </w:r>
    </w:p>
    <w:p w14:paraId="4E242BF1" w14:textId="77777777" w:rsidR="0041562E" w:rsidRPr="009C6CBE" w:rsidRDefault="0041562E" w:rsidP="0041562E">
      <w:pPr>
        <w:tabs>
          <w:tab w:val="left" w:pos="1560"/>
        </w:tabs>
        <w:spacing w:after="120"/>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Marcella E. Franczkowski, M.S., Assistant State Superintendent</w:t>
      </w:r>
    </w:p>
    <w:p w14:paraId="5CB68CF3" w14:textId="77777777" w:rsidR="00D35846" w:rsidRDefault="00D35846" w:rsidP="00D35846">
      <w:pPr>
        <w:tabs>
          <w:tab w:val="left" w:pos="1560"/>
        </w:tabs>
        <w:spacing w:after="120"/>
        <w:rPr>
          <w:rFonts w:ascii="Calibri" w:hAnsi="Calibri" w:cs="Calibri"/>
          <w:color w:val="048B3E"/>
        </w:rPr>
      </w:pPr>
    </w:p>
    <w:p w14:paraId="624A1C4B" w14:textId="52BA374C" w:rsidR="00D35846" w:rsidRPr="009C6CBE" w:rsidRDefault="00D35846" w:rsidP="00D35846">
      <w:pPr>
        <w:tabs>
          <w:tab w:val="left" w:pos="1560"/>
        </w:tabs>
        <w:spacing w:after="120"/>
        <w:rPr>
          <w:rFonts w:ascii="Calibri" w:hAnsi="Calibri" w:cs="Calibri"/>
          <w:i/>
          <w:color w:val="000000" w:themeColor="text1"/>
          <w:sz w:val="22"/>
          <w:szCs w:val="22"/>
        </w:rPr>
      </w:pPr>
      <w:r w:rsidRPr="00E93ED0">
        <w:rPr>
          <w:rFonts w:ascii="Calibri" w:hAnsi="Calibri" w:cs="Calibri"/>
          <w:b/>
          <w:bCs/>
          <w:color w:val="000000" w:themeColor="text1"/>
          <w:sz w:val="21"/>
          <w:szCs w:val="21"/>
        </w:rPr>
        <w:t>DATE ISSUED:</w:t>
      </w:r>
      <w:r w:rsidRPr="00E93ED0">
        <w:rPr>
          <w:rFonts w:ascii="Calibri" w:hAnsi="Calibri" w:cs="Calibri"/>
          <w:b/>
          <w:color w:val="000000" w:themeColor="text1"/>
          <w:sz w:val="21"/>
          <w:szCs w:val="21"/>
        </w:rPr>
        <w:t xml:space="preserve"> </w:t>
      </w:r>
      <w:r w:rsidRPr="004B038C">
        <w:rPr>
          <w:rFonts w:ascii="Calibri" w:hAnsi="Calibri" w:cs="Calibri"/>
          <w:b/>
          <w:color w:val="000000" w:themeColor="text1"/>
          <w:sz w:val="21"/>
          <w:szCs w:val="21"/>
        </w:rPr>
        <w:t>August 2020</w:t>
      </w:r>
      <w:r w:rsidR="004B038C" w:rsidRPr="004B038C">
        <w:rPr>
          <w:rFonts w:asciiTheme="minorHAnsi" w:hAnsiTheme="minorHAnsi" w:cstheme="minorHAnsi"/>
          <w:b/>
          <w:color w:val="000000" w:themeColor="text1"/>
          <w:sz w:val="21"/>
          <w:szCs w:val="21"/>
        </w:rPr>
        <w:t>,</w:t>
      </w:r>
      <w:r w:rsidR="004B038C" w:rsidRPr="00C02D03">
        <w:rPr>
          <w:rFonts w:asciiTheme="minorHAnsi" w:hAnsiTheme="minorHAnsi" w:cstheme="minorHAnsi"/>
          <w:b/>
          <w:color w:val="000000" w:themeColor="text1"/>
          <w:sz w:val="21"/>
          <w:szCs w:val="21"/>
        </w:rPr>
        <w:t xml:space="preserve"> Revised August 2022</w:t>
      </w:r>
    </w:p>
    <w:p w14:paraId="502C572A" w14:textId="77777777" w:rsidR="00E73914" w:rsidRPr="00E73914" w:rsidRDefault="00E73914" w:rsidP="00E73914">
      <w:pPr>
        <w:tabs>
          <w:tab w:val="left" w:pos="1560"/>
        </w:tabs>
        <w:rPr>
          <w:rFonts w:ascii="Calibri" w:hAnsi="Calibri" w:cs="Calibri"/>
          <w:b/>
          <w:color w:val="000000" w:themeColor="text1"/>
          <w:sz w:val="20"/>
          <w:szCs w:val="20"/>
        </w:rPr>
      </w:pPr>
    </w:p>
    <w:p w14:paraId="3AFB8A16" w14:textId="77777777" w:rsidR="0047010F" w:rsidRDefault="00234785" w:rsidP="0047010F">
      <w:pPr>
        <w:tabs>
          <w:tab w:val="left" w:pos="1560"/>
        </w:tabs>
        <w:jc w:val="center"/>
        <w:rPr>
          <w:rFonts w:ascii="Calibri" w:hAnsi="Calibri" w:cs="Calibri"/>
          <w:b/>
          <w:color w:val="048B3E"/>
          <w:sz w:val="32"/>
          <w:szCs w:val="32"/>
        </w:rPr>
      </w:pPr>
      <w:r w:rsidRPr="00E73914">
        <w:rPr>
          <w:rFonts w:ascii="Calibri" w:hAnsi="Calibri" w:cs="Calibri"/>
          <w:b/>
          <w:color w:val="048B3E"/>
          <w:sz w:val="32"/>
          <w:szCs w:val="32"/>
        </w:rPr>
        <w:t xml:space="preserve">TIPs </w:t>
      </w:r>
      <w:r w:rsidR="00FF3D17" w:rsidRPr="00E73914">
        <w:rPr>
          <w:rFonts w:ascii="Calibri" w:hAnsi="Calibri" w:cs="Calibri"/>
          <w:b/>
          <w:color w:val="048B3E"/>
          <w:sz w:val="32"/>
          <w:szCs w:val="32"/>
        </w:rPr>
        <w:t xml:space="preserve">for Supporting Students Who Require Extensive, </w:t>
      </w:r>
    </w:p>
    <w:p w14:paraId="5018D201" w14:textId="63D9F0E6" w:rsidR="00471F67" w:rsidRPr="00E73914" w:rsidRDefault="00FF3D17" w:rsidP="0047010F">
      <w:pPr>
        <w:tabs>
          <w:tab w:val="left" w:pos="1560"/>
        </w:tabs>
        <w:jc w:val="center"/>
        <w:rPr>
          <w:rFonts w:ascii="Calibri" w:hAnsi="Calibri" w:cs="Calibri"/>
          <w:b/>
          <w:color w:val="048B3E"/>
          <w:sz w:val="32"/>
          <w:szCs w:val="32"/>
        </w:rPr>
      </w:pPr>
      <w:r w:rsidRPr="00E73914">
        <w:rPr>
          <w:rFonts w:ascii="Calibri" w:hAnsi="Calibri" w:cs="Calibri"/>
          <w:b/>
          <w:color w:val="048B3E"/>
          <w:sz w:val="32"/>
          <w:szCs w:val="32"/>
        </w:rPr>
        <w:t>Intensive,</w:t>
      </w:r>
      <w:r w:rsidR="0047010F">
        <w:rPr>
          <w:rFonts w:ascii="Calibri" w:hAnsi="Calibri" w:cs="Calibri"/>
          <w:b/>
          <w:color w:val="048B3E"/>
          <w:sz w:val="32"/>
          <w:szCs w:val="32"/>
        </w:rPr>
        <w:t xml:space="preserve"> </w:t>
      </w:r>
      <w:r w:rsidRPr="00E73914">
        <w:rPr>
          <w:rFonts w:ascii="Calibri" w:hAnsi="Calibri" w:cs="Calibri"/>
          <w:b/>
          <w:color w:val="048B3E"/>
          <w:sz w:val="32"/>
          <w:szCs w:val="32"/>
        </w:rPr>
        <w:t xml:space="preserve">Individualized Instruction and Supports </w:t>
      </w:r>
    </w:p>
    <w:p w14:paraId="633D51D8" w14:textId="77777777" w:rsidR="00234785" w:rsidRPr="00E73914" w:rsidRDefault="00FF3D17" w:rsidP="00234785">
      <w:pPr>
        <w:tabs>
          <w:tab w:val="left" w:pos="1560"/>
        </w:tabs>
        <w:spacing w:after="120"/>
        <w:jc w:val="center"/>
        <w:rPr>
          <w:rFonts w:ascii="Calibri" w:hAnsi="Calibri" w:cs="Calibri"/>
          <w:b/>
          <w:color w:val="048B3E"/>
          <w:sz w:val="32"/>
          <w:szCs w:val="32"/>
        </w:rPr>
      </w:pPr>
      <w:r w:rsidRPr="00E73914">
        <w:rPr>
          <w:rFonts w:ascii="Calibri" w:hAnsi="Calibri" w:cs="Calibri"/>
          <w:b/>
          <w:color w:val="048B3E"/>
          <w:sz w:val="32"/>
          <w:szCs w:val="32"/>
        </w:rPr>
        <w:t xml:space="preserve">through </w:t>
      </w:r>
      <w:r w:rsidR="00AF0830">
        <w:rPr>
          <w:rFonts w:ascii="Calibri" w:hAnsi="Calibri" w:cs="Calibri"/>
          <w:b/>
          <w:color w:val="048B3E"/>
          <w:sz w:val="32"/>
          <w:szCs w:val="32"/>
        </w:rPr>
        <w:t>Varied</w:t>
      </w:r>
      <w:r w:rsidRPr="00E73914">
        <w:rPr>
          <w:rFonts w:ascii="Calibri" w:hAnsi="Calibri" w:cs="Calibri"/>
          <w:b/>
          <w:color w:val="048B3E"/>
          <w:sz w:val="32"/>
          <w:szCs w:val="32"/>
        </w:rPr>
        <w:t xml:space="preserve"> Service Delivery Models</w:t>
      </w:r>
    </w:p>
    <w:p w14:paraId="4279B15F" w14:textId="033E33BD" w:rsidR="00FF3D17" w:rsidRPr="004B038C" w:rsidRDefault="00FF3D17" w:rsidP="00FF3D17">
      <w:pPr>
        <w:spacing w:before="240"/>
        <w:rPr>
          <w:rFonts w:asciiTheme="minorHAnsi" w:hAnsiTheme="minorHAnsi" w:cstheme="minorHAnsi"/>
          <w:sz w:val="21"/>
          <w:szCs w:val="21"/>
        </w:rPr>
      </w:pPr>
      <w:r w:rsidRPr="004B038C">
        <w:rPr>
          <w:rFonts w:asciiTheme="minorHAnsi" w:hAnsiTheme="minorHAnsi" w:cstheme="minorHAnsi"/>
          <w:sz w:val="21"/>
          <w:szCs w:val="21"/>
        </w:rPr>
        <w:t xml:space="preserve">For students with disabilities who require extensive, intensive, individualized instruction and support, there is a heightened need for proactive planning and intentional emphasis on the norms, routines, and practices necessary to build a foundation of continuous learning regardless of the instructional delivery model. </w:t>
      </w:r>
      <w:r w:rsidR="003A0636">
        <w:rPr>
          <w:rFonts w:asciiTheme="minorHAnsi" w:hAnsiTheme="minorHAnsi" w:cstheme="minorHAnsi"/>
          <w:sz w:val="21"/>
          <w:szCs w:val="21"/>
        </w:rPr>
        <w:t>P</w:t>
      </w:r>
      <w:r w:rsidRPr="004B038C">
        <w:rPr>
          <w:rFonts w:asciiTheme="minorHAnsi" w:hAnsiTheme="minorHAnsi" w:cstheme="minorHAnsi"/>
          <w:sz w:val="21"/>
          <w:szCs w:val="21"/>
        </w:rPr>
        <w:t>lanning scenarios for these students must be grounded in the following understandings:</w:t>
      </w:r>
    </w:p>
    <w:p w14:paraId="5196648D" w14:textId="77777777" w:rsidR="00FF3D17" w:rsidRPr="004B038C" w:rsidRDefault="00FF3D17" w:rsidP="00FF3D17">
      <w:pPr>
        <w:numPr>
          <w:ilvl w:val="0"/>
          <w:numId w:val="12"/>
        </w:numPr>
        <w:pBdr>
          <w:top w:val="nil"/>
          <w:left w:val="nil"/>
          <w:bottom w:val="nil"/>
          <w:right w:val="nil"/>
          <w:between w:val="nil"/>
        </w:pBdr>
        <w:rPr>
          <w:rFonts w:asciiTheme="minorHAnsi" w:hAnsiTheme="minorHAnsi" w:cstheme="minorHAnsi"/>
          <w:sz w:val="21"/>
          <w:szCs w:val="21"/>
        </w:rPr>
      </w:pPr>
      <w:r w:rsidRPr="004B038C">
        <w:rPr>
          <w:rFonts w:asciiTheme="minorHAnsi" w:hAnsiTheme="minorHAnsi" w:cstheme="minorHAnsi"/>
          <w:sz w:val="21"/>
          <w:szCs w:val="21"/>
        </w:rPr>
        <w:t xml:space="preserve">Special education services are the specially designed instructional supports necessary to ensure meaningful, active, and engaging participation in the general education curriculum and to address the individualized academic, behavioral, and/or functional learning priorities unique to the student’s disability. </w:t>
      </w:r>
    </w:p>
    <w:p w14:paraId="119C434D" w14:textId="77777777" w:rsidR="00FF3D17" w:rsidRPr="004B038C" w:rsidRDefault="00FF3D17" w:rsidP="00FF3D17">
      <w:pPr>
        <w:numPr>
          <w:ilvl w:val="0"/>
          <w:numId w:val="12"/>
        </w:numPr>
        <w:pBdr>
          <w:top w:val="nil"/>
          <w:left w:val="nil"/>
          <w:bottom w:val="nil"/>
          <w:right w:val="nil"/>
          <w:between w:val="nil"/>
        </w:pBdr>
        <w:rPr>
          <w:rFonts w:asciiTheme="minorHAnsi" w:hAnsiTheme="minorHAnsi" w:cstheme="minorHAnsi"/>
          <w:sz w:val="21"/>
          <w:szCs w:val="21"/>
        </w:rPr>
      </w:pPr>
      <w:r w:rsidRPr="004B038C">
        <w:rPr>
          <w:rFonts w:asciiTheme="minorHAnsi" w:hAnsiTheme="minorHAnsi" w:cstheme="minorHAnsi"/>
          <w:sz w:val="21"/>
          <w:szCs w:val="21"/>
        </w:rPr>
        <w:t xml:space="preserve">Academic, behavioral, and/or functional learning priorities are specific to the individual student and are linked to long term goals and objectives. Learning priorities do not change simply because the learning environment changes. </w:t>
      </w:r>
    </w:p>
    <w:p w14:paraId="32CE9ECA" w14:textId="4D4E5FB8" w:rsidR="00FF3D17" w:rsidRPr="004B038C" w:rsidRDefault="00FF3D17" w:rsidP="00FF3D17">
      <w:pPr>
        <w:numPr>
          <w:ilvl w:val="0"/>
          <w:numId w:val="12"/>
        </w:numPr>
        <w:pBdr>
          <w:top w:val="nil"/>
          <w:left w:val="nil"/>
          <w:bottom w:val="nil"/>
          <w:right w:val="nil"/>
          <w:between w:val="nil"/>
        </w:pBdr>
        <w:rPr>
          <w:rFonts w:asciiTheme="minorHAnsi" w:hAnsiTheme="minorHAnsi" w:cstheme="minorHAnsi"/>
          <w:sz w:val="21"/>
          <w:szCs w:val="21"/>
        </w:rPr>
      </w:pPr>
      <w:r w:rsidRPr="004B038C">
        <w:rPr>
          <w:rFonts w:asciiTheme="minorHAnsi" w:hAnsiTheme="minorHAnsi" w:cstheme="minorHAnsi"/>
          <w:sz w:val="21"/>
          <w:szCs w:val="21"/>
        </w:rPr>
        <w:t xml:space="preserve">Collaborative partnerships among students, families, and service providers are necessary to develop and support all aspects of the student’s </w:t>
      </w:r>
      <w:r w:rsidR="00E42B12">
        <w:rPr>
          <w:rFonts w:asciiTheme="minorHAnsi" w:hAnsiTheme="minorHAnsi" w:cstheme="minorHAnsi"/>
          <w:sz w:val="21"/>
          <w:szCs w:val="21"/>
        </w:rPr>
        <w:t>IEP</w:t>
      </w:r>
      <w:r w:rsidRPr="004B038C">
        <w:rPr>
          <w:rFonts w:asciiTheme="minorHAnsi" w:hAnsiTheme="minorHAnsi" w:cstheme="minorHAnsi"/>
          <w:sz w:val="21"/>
          <w:szCs w:val="21"/>
        </w:rPr>
        <w:t>. Clear, concise, and coherent communication is essential for learner success.</w:t>
      </w:r>
    </w:p>
    <w:p w14:paraId="3BAE7F9A" w14:textId="77777777" w:rsidR="00FF3D17" w:rsidRPr="004B038C" w:rsidRDefault="00FF3D17" w:rsidP="00FF3D17">
      <w:pPr>
        <w:rPr>
          <w:rFonts w:asciiTheme="minorHAnsi" w:hAnsiTheme="minorHAnsi" w:cstheme="minorHAnsi"/>
          <w:b/>
          <w:sz w:val="21"/>
          <w:szCs w:val="21"/>
        </w:rPr>
      </w:pPr>
    </w:p>
    <w:p w14:paraId="30621714" w14:textId="77777777" w:rsidR="005366FE" w:rsidRPr="004B038C" w:rsidRDefault="00FF3D17" w:rsidP="00FF3D17">
      <w:pPr>
        <w:rPr>
          <w:rFonts w:asciiTheme="minorHAnsi" w:hAnsiTheme="minorHAnsi" w:cstheme="minorHAnsi"/>
          <w:sz w:val="21"/>
          <w:szCs w:val="21"/>
        </w:rPr>
      </w:pPr>
      <w:r w:rsidRPr="004B038C">
        <w:rPr>
          <w:rFonts w:asciiTheme="minorHAnsi" w:hAnsiTheme="minorHAnsi" w:cstheme="minorHAnsi"/>
          <w:sz w:val="21"/>
          <w:szCs w:val="21"/>
        </w:rPr>
        <w:t>Maintaining continuity of norms, routines, and practices across learning environments build continuity of learning, enhances engagement, and increases learner flexibility. Continuity is achieved by strategically identifying the tools, resources, and procedural options available to the student across instructional settings (virtual, hybrid, and in-person learning).</w:t>
      </w:r>
    </w:p>
    <w:p w14:paraId="3E1C35D4" w14:textId="77777777" w:rsidR="005366FE" w:rsidRPr="004B038C" w:rsidRDefault="005366FE">
      <w:pPr>
        <w:rPr>
          <w:rFonts w:asciiTheme="minorHAnsi" w:hAnsiTheme="minorHAnsi" w:cstheme="minorHAnsi"/>
          <w:sz w:val="21"/>
          <w:szCs w:val="21"/>
        </w:rPr>
      </w:pPr>
      <w:r w:rsidRPr="004B038C">
        <w:rPr>
          <w:rFonts w:asciiTheme="minorHAnsi" w:hAnsiTheme="minorHAnsi" w:cstheme="minorHAnsi"/>
          <w:sz w:val="21"/>
          <w:szCs w:val="21"/>
        </w:rPr>
        <w:br w:type="page"/>
      </w:r>
    </w:p>
    <w:p w14:paraId="5B49DE81" w14:textId="77777777" w:rsidR="00FF3D17" w:rsidRPr="004B038C" w:rsidRDefault="00FF3D17" w:rsidP="00FF3D17">
      <w:pPr>
        <w:rPr>
          <w:rFonts w:asciiTheme="minorHAnsi" w:hAnsiTheme="minorHAnsi" w:cstheme="minorHAnsi"/>
          <w:sz w:val="21"/>
          <w:szCs w:val="21"/>
        </w:rPr>
      </w:pPr>
    </w:p>
    <w:p w14:paraId="3BE9E88F" w14:textId="77777777" w:rsidR="00FF3D17" w:rsidRPr="004B038C" w:rsidRDefault="00FF3D17" w:rsidP="00FF3D17">
      <w:pPr>
        <w:jc w:val="center"/>
        <w:rPr>
          <w:rFonts w:asciiTheme="minorHAnsi" w:hAnsiTheme="minorHAnsi" w:cstheme="minorHAnsi"/>
          <w:b/>
          <w:sz w:val="21"/>
          <w:szCs w:val="21"/>
        </w:rPr>
      </w:pPr>
      <w:r w:rsidRPr="004B038C">
        <w:rPr>
          <w:rFonts w:asciiTheme="minorHAnsi" w:hAnsiTheme="minorHAnsi" w:cstheme="minorHAnsi"/>
          <w:b/>
          <w:sz w:val="21"/>
          <w:szCs w:val="21"/>
        </w:rPr>
        <w:t>Continuity of Norms, Routines, and Practices across Learning Environments</w:t>
      </w:r>
    </w:p>
    <w:p w14:paraId="178B8CCB" w14:textId="77777777" w:rsidR="00FF3D17" w:rsidRPr="004B038C" w:rsidRDefault="00FF3D17" w:rsidP="00FF3D17">
      <w:pPr>
        <w:keepNext/>
        <w:jc w:val="center"/>
        <w:rPr>
          <w:rFonts w:asciiTheme="minorHAnsi" w:hAnsiTheme="minorHAnsi" w:cstheme="minorHAnsi"/>
          <w:sz w:val="21"/>
          <w:szCs w:val="21"/>
        </w:rPr>
      </w:pPr>
      <w:r w:rsidRPr="004B038C">
        <w:rPr>
          <w:rFonts w:asciiTheme="minorHAnsi" w:hAnsiTheme="minorHAnsi" w:cstheme="minorHAnsi"/>
          <w:noProof/>
          <w:sz w:val="21"/>
          <w:szCs w:val="21"/>
        </w:rPr>
        <w:drawing>
          <wp:inline distT="0" distB="0" distL="0" distR="0" wp14:anchorId="334C8643" wp14:editId="19C78A17">
            <wp:extent cx="3565132" cy="1099185"/>
            <wp:effectExtent l="0" t="0" r="0" b="5715"/>
            <wp:docPr id="5" name="image1.png" title="Recusive Process of Instructional Planning "/>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28686" t="17959" r="4167" b="41847"/>
                    <a:stretch>
                      <a:fillRect/>
                    </a:stretch>
                  </pic:blipFill>
                  <pic:spPr>
                    <a:xfrm>
                      <a:off x="0" y="0"/>
                      <a:ext cx="3588141" cy="1106279"/>
                    </a:xfrm>
                    <a:prstGeom prst="rect">
                      <a:avLst/>
                    </a:prstGeom>
                    <a:ln/>
                  </pic:spPr>
                </pic:pic>
              </a:graphicData>
            </a:graphic>
          </wp:inline>
        </w:drawing>
      </w:r>
    </w:p>
    <w:p w14:paraId="5FA50F3A" w14:textId="77777777" w:rsidR="00FF3D17" w:rsidRPr="004B038C" w:rsidRDefault="00FF3D17" w:rsidP="00FF3D17">
      <w:pPr>
        <w:pStyle w:val="Caption"/>
        <w:jc w:val="center"/>
        <w:rPr>
          <w:rFonts w:asciiTheme="minorHAnsi" w:hAnsiTheme="minorHAnsi" w:cstheme="minorHAnsi"/>
          <w:b/>
          <w:sz w:val="21"/>
          <w:szCs w:val="21"/>
        </w:rPr>
      </w:pPr>
      <w:r w:rsidRPr="004B038C">
        <w:rPr>
          <w:rFonts w:asciiTheme="minorHAnsi" w:hAnsiTheme="minorHAnsi" w:cstheme="minorHAnsi"/>
          <w:sz w:val="21"/>
          <w:szCs w:val="21"/>
        </w:rPr>
        <w:t>Figure 1: Continuity of Norms, Routines, and Practices across Learning (</w:t>
      </w:r>
      <w:hyperlink r:id="rId11" w:history="1">
        <w:r w:rsidRPr="004B038C">
          <w:rPr>
            <w:rStyle w:val="Hyperlink"/>
            <w:rFonts w:asciiTheme="minorHAnsi" w:hAnsiTheme="minorHAnsi" w:cstheme="minorHAnsi"/>
            <w:sz w:val="21"/>
            <w:szCs w:val="21"/>
          </w:rPr>
          <w:t>Planning for Instruction both at School and Distance Learning: The 5C Process (DL #17).TIES Center</w:t>
        </w:r>
      </w:hyperlink>
      <w:r w:rsidRPr="004B038C">
        <w:rPr>
          <w:rFonts w:asciiTheme="minorHAnsi" w:hAnsiTheme="minorHAnsi" w:cstheme="minorHAnsi"/>
          <w:sz w:val="21"/>
          <w:szCs w:val="21"/>
        </w:rPr>
        <w:t>)</w:t>
      </w:r>
    </w:p>
    <w:p w14:paraId="5A4608D9" w14:textId="77777777" w:rsidR="00FF3D17" w:rsidRPr="004B038C" w:rsidRDefault="00FF3D17" w:rsidP="00FF3D17">
      <w:pPr>
        <w:rPr>
          <w:rFonts w:asciiTheme="minorHAnsi" w:hAnsiTheme="minorHAnsi" w:cstheme="minorHAnsi"/>
          <w:sz w:val="21"/>
          <w:szCs w:val="21"/>
        </w:rPr>
      </w:pPr>
    </w:p>
    <w:p w14:paraId="4BCE526F" w14:textId="77777777" w:rsidR="00FF3D17" w:rsidRPr="004B038C" w:rsidRDefault="00FF3D17" w:rsidP="00FF3D17">
      <w:pPr>
        <w:rPr>
          <w:rFonts w:asciiTheme="minorHAnsi" w:hAnsiTheme="minorHAnsi" w:cstheme="minorHAnsi"/>
          <w:sz w:val="21"/>
          <w:szCs w:val="21"/>
        </w:rPr>
      </w:pPr>
      <w:r w:rsidRPr="004B038C">
        <w:rPr>
          <w:rFonts w:asciiTheme="minorHAnsi" w:hAnsiTheme="minorHAnsi" w:cstheme="minorHAnsi"/>
          <w:sz w:val="21"/>
          <w:szCs w:val="21"/>
        </w:rPr>
        <w:t xml:space="preserve">The following </w:t>
      </w:r>
      <w:r w:rsidRPr="004B038C">
        <w:rPr>
          <w:rFonts w:asciiTheme="minorHAnsi" w:hAnsiTheme="minorHAnsi" w:cstheme="minorHAnsi"/>
          <w:b/>
          <w:sz w:val="21"/>
          <w:szCs w:val="21"/>
        </w:rPr>
        <w:t>Tips/Strategies for Support</w:t>
      </w:r>
      <w:r w:rsidRPr="004B038C">
        <w:rPr>
          <w:rFonts w:asciiTheme="minorHAnsi" w:hAnsiTheme="minorHAnsi" w:cstheme="minorHAnsi"/>
          <w:sz w:val="21"/>
          <w:szCs w:val="21"/>
        </w:rPr>
        <w:t xml:space="preserve"> offer an array of options to facilitate the processes necessary for the successful transitioning of students who require extensive and intensive individualized instruction and support across instructional delivery models (virtual, hybrid, and in-person learning).</w:t>
      </w:r>
    </w:p>
    <w:p w14:paraId="453D51DA" w14:textId="77777777" w:rsidR="00FF3D17" w:rsidRPr="004B038C" w:rsidRDefault="00FF3D17" w:rsidP="00FF3D17">
      <w:pPr>
        <w:rPr>
          <w:rFonts w:asciiTheme="minorHAnsi" w:hAnsiTheme="minorHAnsi" w:cstheme="minorHAnsi"/>
          <w:color w:val="000000"/>
          <w:sz w:val="21"/>
          <w:szCs w:val="21"/>
        </w:rPr>
      </w:pP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ble for TIPS or Strategies of Support "/>
      </w:tblPr>
      <w:tblGrid>
        <w:gridCol w:w="2736"/>
        <w:gridCol w:w="6912"/>
      </w:tblGrid>
      <w:tr w:rsidR="00FF3D17" w:rsidRPr="004B038C" w14:paraId="5E4F4A0D" w14:textId="77777777" w:rsidTr="009B243F">
        <w:trPr>
          <w:trHeight w:val="525"/>
          <w:tblHeader/>
        </w:trPr>
        <w:tc>
          <w:tcPr>
            <w:tcW w:w="2736" w:type="dxa"/>
            <w:shd w:val="clear" w:color="auto" w:fill="auto"/>
            <w:tcMar>
              <w:top w:w="100" w:type="dxa"/>
              <w:left w:w="100" w:type="dxa"/>
              <w:bottom w:w="100" w:type="dxa"/>
              <w:right w:w="100" w:type="dxa"/>
            </w:tcMar>
            <w:vAlign w:val="center"/>
          </w:tcPr>
          <w:p w14:paraId="5C79F6C1" w14:textId="77777777" w:rsidR="00FF3D17" w:rsidRPr="004B038C" w:rsidRDefault="00FF3D17" w:rsidP="009B243F">
            <w:pPr>
              <w:widowControl w:val="0"/>
              <w:rPr>
                <w:rFonts w:asciiTheme="minorHAnsi" w:hAnsiTheme="minorHAnsi" w:cstheme="minorHAnsi"/>
                <w:b/>
                <w:sz w:val="21"/>
                <w:szCs w:val="21"/>
              </w:rPr>
            </w:pPr>
          </w:p>
        </w:tc>
        <w:tc>
          <w:tcPr>
            <w:tcW w:w="6912" w:type="dxa"/>
            <w:shd w:val="clear" w:color="auto" w:fill="auto"/>
            <w:tcMar>
              <w:top w:w="100" w:type="dxa"/>
              <w:left w:w="100" w:type="dxa"/>
              <w:bottom w:w="100" w:type="dxa"/>
              <w:right w:w="100" w:type="dxa"/>
            </w:tcMar>
            <w:vAlign w:val="center"/>
          </w:tcPr>
          <w:p w14:paraId="4DFC2CCB" w14:textId="77777777" w:rsidR="00FF3D17" w:rsidRPr="004B038C" w:rsidRDefault="00FF3D17" w:rsidP="009B243F">
            <w:pPr>
              <w:widowControl w:val="0"/>
              <w:ind w:left="720" w:hanging="360"/>
              <w:jc w:val="center"/>
              <w:rPr>
                <w:rFonts w:asciiTheme="minorHAnsi" w:hAnsiTheme="minorHAnsi" w:cstheme="minorHAnsi"/>
                <w:b/>
                <w:sz w:val="21"/>
                <w:szCs w:val="21"/>
              </w:rPr>
            </w:pPr>
            <w:r w:rsidRPr="004B038C">
              <w:rPr>
                <w:rFonts w:asciiTheme="minorHAnsi" w:hAnsiTheme="minorHAnsi" w:cstheme="minorHAnsi"/>
                <w:b/>
                <w:sz w:val="21"/>
                <w:szCs w:val="21"/>
              </w:rPr>
              <w:t>Tips/Strategies for Support</w:t>
            </w:r>
          </w:p>
        </w:tc>
      </w:tr>
      <w:tr w:rsidR="00FF3D17" w:rsidRPr="004B038C" w14:paraId="7CD1D017" w14:textId="77777777" w:rsidTr="009B243F">
        <w:trPr>
          <w:trHeight w:val="1149"/>
        </w:trPr>
        <w:tc>
          <w:tcPr>
            <w:tcW w:w="2736" w:type="dxa"/>
            <w:shd w:val="clear" w:color="auto" w:fill="auto"/>
            <w:tcMar>
              <w:top w:w="100" w:type="dxa"/>
              <w:left w:w="100" w:type="dxa"/>
              <w:bottom w:w="100" w:type="dxa"/>
              <w:right w:w="100" w:type="dxa"/>
            </w:tcMar>
          </w:tcPr>
          <w:p w14:paraId="22D8BA8D" w14:textId="77777777" w:rsidR="00FF3D17" w:rsidRPr="004B038C" w:rsidRDefault="00FF3D17" w:rsidP="009B243F">
            <w:pPr>
              <w:widowControl w:val="0"/>
              <w:rPr>
                <w:rFonts w:asciiTheme="minorHAnsi" w:hAnsiTheme="minorHAnsi" w:cstheme="minorHAnsi"/>
                <w:b/>
                <w:sz w:val="21"/>
                <w:szCs w:val="21"/>
              </w:rPr>
            </w:pPr>
            <w:r w:rsidRPr="004B038C">
              <w:rPr>
                <w:rFonts w:asciiTheme="minorHAnsi" w:hAnsiTheme="minorHAnsi" w:cstheme="minorHAnsi"/>
                <w:b/>
                <w:sz w:val="21"/>
                <w:szCs w:val="21"/>
              </w:rPr>
              <w:t>Identify Learning Goals and Priorities</w:t>
            </w:r>
          </w:p>
        </w:tc>
        <w:tc>
          <w:tcPr>
            <w:tcW w:w="6912" w:type="dxa"/>
            <w:shd w:val="clear" w:color="auto" w:fill="auto"/>
            <w:tcMar>
              <w:top w:w="100" w:type="dxa"/>
              <w:left w:w="100" w:type="dxa"/>
              <w:bottom w:w="100" w:type="dxa"/>
              <w:right w:w="100" w:type="dxa"/>
            </w:tcMar>
          </w:tcPr>
          <w:p w14:paraId="6F79874A" w14:textId="77777777" w:rsidR="00FF3D17" w:rsidRPr="004B038C" w:rsidRDefault="00FF3D17" w:rsidP="00FF3D17">
            <w:pPr>
              <w:numPr>
                <w:ilvl w:val="0"/>
                <w:numId w:val="17"/>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sz w:val="21"/>
                <w:szCs w:val="21"/>
              </w:rPr>
              <w:t>Identify the major learning priorities for the student relative to:</w:t>
            </w:r>
          </w:p>
          <w:p w14:paraId="24481A72" w14:textId="77777777" w:rsidR="00FF3D17" w:rsidRPr="004B038C" w:rsidRDefault="00FF3D17" w:rsidP="00FF3D17">
            <w:pPr>
              <w:numPr>
                <w:ilvl w:val="1"/>
                <w:numId w:val="17"/>
              </w:numPr>
              <w:pBdr>
                <w:top w:val="nil"/>
                <w:left w:val="nil"/>
                <w:bottom w:val="nil"/>
                <w:right w:val="nil"/>
                <w:between w:val="nil"/>
              </w:pBdr>
              <w:rPr>
                <w:rFonts w:asciiTheme="minorHAnsi" w:hAnsiTheme="minorHAnsi" w:cstheme="minorHAnsi"/>
                <w:sz w:val="21"/>
                <w:szCs w:val="21"/>
              </w:rPr>
            </w:pPr>
            <w:r w:rsidRPr="004B038C">
              <w:rPr>
                <w:rFonts w:asciiTheme="minorHAnsi" w:hAnsiTheme="minorHAnsi" w:cstheme="minorHAnsi"/>
                <w:sz w:val="21"/>
                <w:szCs w:val="21"/>
              </w:rPr>
              <w:t>Access and engagement with academic, behavioral, and/or functional learning</w:t>
            </w:r>
          </w:p>
          <w:p w14:paraId="7D2B44ED" w14:textId="77777777" w:rsidR="00FF3D17" w:rsidRPr="004B038C" w:rsidRDefault="00FF3D17" w:rsidP="00FF3D17">
            <w:pPr>
              <w:numPr>
                <w:ilvl w:val="1"/>
                <w:numId w:val="17"/>
              </w:numPr>
              <w:rPr>
                <w:rFonts w:asciiTheme="minorHAnsi" w:hAnsiTheme="minorHAnsi" w:cstheme="minorHAnsi"/>
                <w:sz w:val="21"/>
                <w:szCs w:val="21"/>
              </w:rPr>
            </w:pPr>
            <w:r w:rsidRPr="004B038C">
              <w:rPr>
                <w:rFonts w:asciiTheme="minorHAnsi" w:hAnsiTheme="minorHAnsi" w:cstheme="minorHAnsi"/>
                <w:sz w:val="21"/>
                <w:szCs w:val="21"/>
              </w:rPr>
              <w:t>Routines and transitions</w:t>
            </w:r>
          </w:p>
          <w:p w14:paraId="00003D2D" w14:textId="77777777" w:rsidR="00FF3D17" w:rsidRPr="004B038C" w:rsidRDefault="00FF3D17" w:rsidP="00FF3D17">
            <w:pPr>
              <w:numPr>
                <w:ilvl w:val="1"/>
                <w:numId w:val="17"/>
              </w:numPr>
              <w:pBdr>
                <w:top w:val="nil"/>
                <w:left w:val="nil"/>
                <w:bottom w:val="nil"/>
                <w:right w:val="nil"/>
                <w:between w:val="nil"/>
              </w:pBdr>
              <w:rPr>
                <w:rFonts w:asciiTheme="minorHAnsi" w:hAnsiTheme="minorHAnsi" w:cstheme="minorHAnsi"/>
                <w:sz w:val="21"/>
                <w:szCs w:val="21"/>
              </w:rPr>
            </w:pPr>
            <w:r w:rsidRPr="004B038C">
              <w:rPr>
                <w:rFonts w:asciiTheme="minorHAnsi" w:hAnsiTheme="minorHAnsi" w:cstheme="minorHAnsi"/>
                <w:sz w:val="21"/>
                <w:szCs w:val="21"/>
              </w:rPr>
              <w:t>Meaningful interaction with others (including non-disabled peers)</w:t>
            </w:r>
          </w:p>
          <w:p w14:paraId="24378B3E" w14:textId="77777777" w:rsidR="00FF3D17" w:rsidRPr="004B038C" w:rsidRDefault="00FF3D17" w:rsidP="00FF3D17">
            <w:pPr>
              <w:numPr>
                <w:ilvl w:val="0"/>
                <w:numId w:val="17"/>
              </w:numPr>
              <w:pBdr>
                <w:top w:val="nil"/>
                <w:left w:val="nil"/>
                <w:bottom w:val="nil"/>
                <w:right w:val="nil"/>
                <w:between w:val="nil"/>
              </w:pBdr>
              <w:rPr>
                <w:rFonts w:asciiTheme="minorHAnsi" w:hAnsiTheme="minorHAnsi" w:cstheme="minorHAnsi"/>
                <w:sz w:val="21"/>
                <w:szCs w:val="21"/>
              </w:rPr>
            </w:pPr>
            <w:r w:rsidRPr="004B038C">
              <w:rPr>
                <w:rFonts w:asciiTheme="minorHAnsi" w:hAnsiTheme="minorHAnsi" w:cstheme="minorHAnsi"/>
                <w:sz w:val="21"/>
                <w:szCs w:val="21"/>
              </w:rPr>
              <w:t xml:space="preserve">Respond to the question: “What IEP goals and objectives are to be the primary focus?” </w:t>
            </w:r>
          </w:p>
          <w:p w14:paraId="01E57D3B" w14:textId="77777777" w:rsidR="00FF3D17" w:rsidRPr="004B038C" w:rsidRDefault="00FF3D17" w:rsidP="00FF3D17">
            <w:pPr>
              <w:numPr>
                <w:ilvl w:val="1"/>
                <w:numId w:val="17"/>
              </w:numPr>
              <w:pBdr>
                <w:top w:val="nil"/>
                <w:left w:val="nil"/>
                <w:bottom w:val="nil"/>
                <w:right w:val="nil"/>
                <w:between w:val="nil"/>
              </w:pBdr>
              <w:rPr>
                <w:rFonts w:asciiTheme="minorHAnsi" w:hAnsiTheme="minorHAnsi" w:cstheme="minorHAnsi"/>
                <w:sz w:val="21"/>
                <w:szCs w:val="21"/>
              </w:rPr>
            </w:pPr>
            <w:r w:rsidRPr="004B038C">
              <w:rPr>
                <w:rFonts w:asciiTheme="minorHAnsi" w:hAnsiTheme="minorHAnsi" w:cstheme="minorHAnsi"/>
                <w:sz w:val="21"/>
                <w:szCs w:val="21"/>
              </w:rPr>
              <w:t>Determine:</w:t>
            </w:r>
          </w:p>
          <w:p w14:paraId="5C01E812" w14:textId="77777777" w:rsidR="00FF3D17" w:rsidRPr="004B038C" w:rsidRDefault="00FF3D17" w:rsidP="00FF3D17">
            <w:pPr>
              <w:numPr>
                <w:ilvl w:val="2"/>
                <w:numId w:val="17"/>
              </w:numPr>
              <w:pBdr>
                <w:top w:val="nil"/>
                <w:left w:val="nil"/>
                <w:bottom w:val="nil"/>
                <w:right w:val="nil"/>
                <w:between w:val="nil"/>
              </w:pBdr>
              <w:rPr>
                <w:rFonts w:asciiTheme="minorHAnsi" w:hAnsiTheme="minorHAnsi" w:cstheme="minorHAnsi"/>
                <w:sz w:val="21"/>
                <w:szCs w:val="21"/>
              </w:rPr>
            </w:pPr>
            <w:r w:rsidRPr="004B038C">
              <w:rPr>
                <w:rFonts w:asciiTheme="minorHAnsi" w:hAnsiTheme="minorHAnsi" w:cstheme="minorHAnsi"/>
                <w:sz w:val="21"/>
                <w:szCs w:val="21"/>
              </w:rPr>
              <w:t>Which goals and objectives occur naturally within the context of the curriculum/Essential Elements and the designated learning environment?</w:t>
            </w:r>
          </w:p>
          <w:p w14:paraId="5030D7C0" w14:textId="77777777" w:rsidR="00FF3D17" w:rsidRPr="004B038C" w:rsidRDefault="00FF3D17" w:rsidP="00FF3D17">
            <w:pPr>
              <w:numPr>
                <w:ilvl w:val="2"/>
                <w:numId w:val="17"/>
              </w:numPr>
              <w:pBdr>
                <w:top w:val="nil"/>
                <w:left w:val="nil"/>
                <w:bottom w:val="nil"/>
                <w:right w:val="nil"/>
                <w:between w:val="nil"/>
              </w:pBdr>
              <w:rPr>
                <w:rFonts w:asciiTheme="minorHAnsi" w:hAnsiTheme="minorHAnsi" w:cstheme="minorHAnsi"/>
                <w:sz w:val="21"/>
                <w:szCs w:val="21"/>
              </w:rPr>
            </w:pPr>
            <w:r w:rsidRPr="004B038C">
              <w:rPr>
                <w:rFonts w:asciiTheme="minorHAnsi" w:hAnsiTheme="minorHAnsi" w:cstheme="minorHAnsi"/>
                <w:sz w:val="21"/>
                <w:szCs w:val="21"/>
              </w:rPr>
              <w:t>Which goals and objectives need to be intentionally embedded within the student’s instructional day based on varying learning environments?</w:t>
            </w:r>
          </w:p>
        </w:tc>
      </w:tr>
      <w:tr w:rsidR="00FF3D17" w:rsidRPr="004B038C" w14:paraId="393234A1" w14:textId="77777777" w:rsidTr="009B243F">
        <w:trPr>
          <w:trHeight w:val="573"/>
        </w:trPr>
        <w:tc>
          <w:tcPr>
            <w:tcW w:w="2736" w:type="dxa"/>
            <w:shd w:val="clear" w:color="auto" w:fill="auto"/>
            <w:tcMar>
              <w:top w:w="100" w:type="dxa"/>
              <w:left w:w="100" w:type="dxa"/>
              <w:bottom w:w="100" w:type="dxa"/>
              <w:right w:w="100" w:type="dxa"/>
            </w:tcMar>
          </w:tcPr>
          <w:p w14:paraId="1828FF6A" w14:textId="77777777" w:rsidR="00FF3D17" w:rsidRPr="004B038C" w:rsidRDefault="00FF3D17" w:rsidP="009B243F">
            <w:pPr>
              <w:widowControl w:val="0"/>
              <w:rPr>
                <w:rFonts w:asciiTheme="minorHAnsi" w:hAnsiTheme="minorHAnsi" w:cstheme="minorHAnsi"/>
                <w:b/>
                <w:sz w:val="21"/>
                <w:szCs w:val="21"/>
              </w:rPr>
            </w:pPr>
            <w:r w:rsidRPr="004B038C">
              <w:rPr>
                <w:rFonts w:asciiTheme="minorHAnsi" w:hAnsiTheme="minorHAnsi" w:cstheme="minorHAnsi"/>
                <w:b/>
                <w:sz w:val="21"/>
                <w:szCs w:val="21"/>
              </w:rPr>
              <w:t>Reinforce a Continuity of Norms, Routines, and Practices</w:t>
            </w:r>
          </w:p>
        </w:tc>
        <w:tc>
          <w:tcPr>
            <w:tcW w:w="6912" w:type="dxa"/>
            <w:shd w:val="clear" w:color="auto" w:fill="auto"/>
            <w:tcMar>
              <w:top w:w="100" w:type="dxa"/>
              <w:left w:w="100" w:type="dxa"/>
              <w:bottom w:w="100" w:type="dxa"/>
              <w:right w:w="100" w:type="dxa"/>
            </w:tcMar>
          </w:tcPr>
          <w:p w14:paraId="3111A29D" w14:textId="77777777" w:rsidR="00FF3D17" w:rsidRPr="004B038C" w:rsidRDefault="00FF3D17" w:rsidP="00FF3D17">
            <w:pPr>
              <w:numPr>
                <w:ilvl w:val="0"/>
                <w:numId w:val="14"/>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Identify and plan for </w:t>
            </w:r>
            <w:hyperlink r:id="rId12">
              <w:r w:rsidRPr="004B038C">
                <w:rPr>
                  <w:rFonts w:asciiTheme="minorHAnsi" w:hAnsiTheme="minorHAnsi" w:cstheme="minorHAnsi"/>
                  <w:color w:val="0563C1"/>
                  <w:sz w:val="21"/>
                  <w:szCs w:val="21"/>
                  <w:u w:val="single"/>
                </w:rPr>
                <w:t>Connecting Core Words, Aided Language Modeling, and Literacy</w:t>
              </w:r>
            </w:hyperlink>
            <w:r w:rsidRPr="004B038C">
              <w:rPr>
                <w:rFonts w:asciiTheme="minorHAnsi" w:hAnsiTheme="minorHAnsi" w:cstheme="minorHAnsi"/>
                <w:color w:val="000000"/>
                <w:sz w:val="21"/>
                <w:szCs w:val="21"/>
              </w:rPr>
              <w:t xml:space="preserve"> using a variety of communicative forms, for a variety of purposes, based on a range of language intents and the student’s response to routines, practices, and instruction (requesting, imitation, receptive identification, vocal skills, and pre- and advanced conversation skills).</w:t>
            </w:r>
          </w:p>
          <w:p w14:paraId="0C9841C5" w14:textId="77777777" w:rsidR="00FF3D17" w:rsidRPr="004B038C" w:rsidRDefault="00FF3D17" w:rsidP="00FF3D17">
            <w:pPr>
              <w:numPr>
                <w:ilvl w:val="0"/>
                <w:numId w:val="14"/>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Use explicit instructional strategies, including interactive communication and social skills instruction throughout the day (social stories, video scripting, social scripting, and social thinking practices) to help the student prepare for and respond to changes.</w:t>
            </w:r>
          </w:p>
          <w:p w14:paraId="481FE926" w14:textId="77777777" w:rsidR="00FF3D17" w:rsidRPr="004B038C" w:rsidRDefault="00FF3D17" w:rsidP="00FF3D17">
            <w:pPr>
              <w:numPr>
                <w:ilvl w:val="0"/>
                <w:numId w:val="14"/>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Use student-specific wait time; cueing for a response; visual, tactile, or kinesthetic supports; to process information and make a response. Create a learners’ toolkit of resources, manipulatives, and other supports that are essential for student access and reinforcement of learning across environments. </w:t>
            </w:r>
          </w:p>
          <w:p w14:paraId="0B4034B2" w14:textId="77777777" w:rsidR="00FF3D17" w:rsidRPr="004B038C" w:rsidRDefault="00FF3D17" w:rsidP="00FF3D17">
            <w:pPr>
              <w:numPr>
                <w:ilvl w:val="0"/>
                <w:numId w:val="14"/>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lastRenderedPageBreak/>
              <w:t>Provide explicit instruction, visual schedules, social stories, and modeled practice opportunities necessary to engage in and sustain required safety and health protocols (handwashing, wearing a mask/shield) across learning environments.</w:t>
            </w:r>
          </w:p>
        </w:tc>
      </w:tr>
      <w:tr w:rsidR="00FF3D17" w:rsidRPr="004B038C" w14:paraId="01F0A3D9" w14:textId="77777777" w:rsidTr="009B243F">
        <w:trPr>
          <w:trHeight w:val="1149"/>
        </w:trPr>
        <w:tc>
          <w:tcPr>
            <w:tcW w:w="2736" w:type="dxa"/>
            <w:shd w:val="clear" w:color="auto" w:fill="auto"/>
            <w:tcMar>
              <w:top w:w="100" w:type="dxa"/>
              <w:left w:w="100" w:type="dxa"/>
              <w:bottom w:w="100" w:type="dxa"/>
              <w:right w:w="100" w:type="dxa"/>
            </w:tcMar>
          </w:tcPr>
          <w:p w14:paraId="5619E585" w14:textId="77777777" w:rsidR="00FF3D17" w:rsidRPr="004B038C" w:rsidRDefault="00FF3D17" w:rsidP="009B243F">
            <w:pPr>
              <w:widowControl w:val="0"/>
              <w:rPr>
                <w:rFonts w:asciiTheme="minorHAnsi" w:hAnsiTheme="minorHAnsi" w:cstheme="minorHAnsi"/>
                <w:b/>
                <w:sz w:val="21"/>
                <w:szCs w:val="21"/>
              </w:rPr>
            </w:pPr>
            <w:r w:rsidRPr="004B038C">
              <w:rPr>
                <w:rFonts w:asciiTheme="minorHAnsi" w:hAnsiTheme="minorHAnsi" w:cstheme="minorHAnsi"/>
                <w:b/>
                <w:sz w:val="21"/>
                <w:szCs w:val="21"/>
              </w:rPr>
              <w:lastRenderedPageBreak/>
              <w:t>Planning for Transitions</w:t>
            </w:r>
          </w:p>
        </w:tc>
        <w:tc>
          <w:tcPr>
            <w:tcW w:w="6912" w:type="dxa"/>
            <w:shd w:val="clear" w:color="auto" w:fill="auto"/>
            <w:tcMar>
              <w:top w:w="100" w:type="dxa"/>
              <w:left w:w="100" w:type="dxa"/>
              <w:bottom w:w="100" w:type="dxa"/>
              <w:right w:w="100" w:type="dxa"/>
            </w:tcMar>
          </w:tcPr>
          <w:p w14:paraId="3A8701C6" w14:textId="2A482DEB" w:rsidR="00FF3D17" w:rsidRPr="004B038C" w:rsidRDefault="00FF3D17" w:rsidP="00FF3D17">
            <w:pPr>
              <w:numPr>
                <w:ilvl w:val="0"/>
                <w:numId w:val="17"/>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Identify student-specific use of visual supports, video presentations, virtual “meet and greets” or interactive tours of the learning environment.</w:t>
            </w:r>
            <w:r w:rsidRPr="004B038C">
              <w:rPr>
                <w:rFonts w:asciiTheme="minorHAnsi" w:eastAsia="Arial" w:hAnsiTheme="minorHAnsi" w:cstheme="minorHAnsi"/>
                <w:color w:val="000000"/>
                <w:sz w:val="21"/>
                <w:szCs w:val="21"/>
              </w:rPr>
              <w:t xml:space="preserve"> </w:t>
            </w:r>
          </w:p>
          <w:p w14:paraId="685BD654" w14:textId="2888DE3F" w:rsidR="00FF3D17" w:rsidRPr="004B038C" w:rsidRDefault="00FF3D17" w:rsidP="00FF3D17">
            <w:pPr>
              <w:numPr>
                <w:ilvl w:val="0"/>
                <w:numId w:val="17"/>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Plan for multiple opportunities for explicit instruction and rehearse change scenarios so the student understands the changes that will be in place (emphasis on “new” norms, routines, and practices). If possible, provide pictures. </w:t>
            </w:r>
          </w:p>
          <w:p w14:paraId="263A46B5" w14:textId="77777777" w:rsidR="00FF3D17" w:rsidRPr="004B038C" w:rsidRDefault="00FF3D17" w:rsidP="00FF3D17">
            <w:pPr>
              <w:numPr>
                <w:ilvl w:val="0"/>
                <w:numId w:val="17"/>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Utilize concrete boundary markers to reinforce social distancing norms (hula hoops, tape, pool noodles, or structural barriers).</w:t>
            </w:r>
          </w:p>
          <w:p w14:paraId="24B760B4" w14:textId="77777777" w:rsidR="00FF3D17" w:rsidRPr="004B038C" w:rsidRDefault="00FF3D17" w:rsidP="00FF3D17">
            <w:pPr>
              <w:numPr>
                <w:ilvl w:val="0"/>
                <w:numId w:val="17"/>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Adapt learning routines and practices for appropriate peer interactions within revised norms, including travel training, social distancing, and alternatives to physical interactions such as hugs or handshakes, based on data across settings.</w:t>
            </w:r>
          </w:p>
          <w:p w14:paraId="2A058FCA" w14:textId="77777777" w:rsidR="00FF3D17" w:rsidRPr="004B038C" w:rsidRDefault="00FF3D17" w:rsidP="00FF3D17">
            <w:pPr>
              <w:numPr>
                <w:ilvl w:val="0"/>
                <w:numId w:val="17"/>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Develop demonstration videos or a photo gallery of “who’s who” at school with pictures of friends and staff wearing personal protective equipment (PPE). </w:t>
            </w:r>
          </w:p>
          <w:p w14:paraId="326A0D47" w14:textId="77777777" w:rsidR="00FF3D17" w:rsidRPr="004B038C" w:rsidRDefault="00FF3D17" w:rsidP="00FF3D17">
            <w:pPr>
              <w:numPr>
                <w:ilvl w:val="0"/>
                <w:numId w:val="13"/>
              </w:numPr>
              <w:pBdr>
                <w:top w:val="nil"/>
                <w:left w:val="nil"/>
                <w:bottom w:val="nil"/>
                <w:right w:val="nil"/>
                <w:between w:val="nil"/>
              </w:pBdr>
              <w:ind w:left="360"/>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Prepare communication devices or systems with key vocabulary to allow students to participate in activities aligned with the “new” normal (personal space, social distancing, face mask, face shield, PPE). </w:t>
            </w:r>
          </w:p>
          <w:p w14:paraId="298C2EEB" w14:textId="77777777" w:rsidR="00FF3D17" w:rsidRPr="004B038C" w:rsidRDefault="00FF3D17" w:rsidP="00FF3D17">
            <w:pPr>
              <w:numPr>
                <w:ilvl w:val="0"/>
                <w:numId w:val="13"/>
              </w:numPr>
              <w:pBdr>
                <w:top w:val="nil"/>
                <w:left w:val="nil"/>
                <w:bottom w:val="nil"/>
                <w:right w:val="nil"/>
                <w:between w:val="nil"/>
              </w:pBdr>
              <w:ind w:left="360"/>
              <w:rPr>
                <w:rFonts w:asciiTheme="minorHAnsi" w:hAnsiTheme="minorHAnsi" w:cstheme="minorHAnsi"/>
                <w:color w:val="000000"/>
                <w:sz w:val="21"/>
                <w:szCs w:val="21"/>
              </w:rPr>
            </w:pPr>
            <w:r w:rsidRPr="004B038C">
              <w:rPr>
                <w:rFonts w:asciiTheme="minorHAnsi" w:hAnsiTheme="minorHAnsi" w:cstheme="minorHAnsi"/>
                <w:color w:val="000000"/>
                <w:sz w:val="21"/>
                <w:szCs w:val="21"/>
              </w:rPr>
              <w:t>Ensure staff has knowledge and skills to reopen with a whole child focus (social-emotional and academic needs of students), including training on self-care and trauma-informed practices.</w:t>
            </w:r>
          </w:p>
        </w:tc>
      </w:tr>
      <w:tr w:rsidR="00FF3D17" w:rsidRPr="004B038C" w14:paraId="15E11923" w14:textId="77777777" w:rsidTr="009B243F">
        <w:trPr>
          <w:trHeight w:val="753"/>
        </w:trPr>
        <w:tc>
          <w:tcPr>
            <w:tcW w:w="2736" w:type="dxa"/>
            <w:shd w:val="clear" w:color="auto" w:fill="auto"/>
            <w:tcMar>
              <w:top w:w="100" w:type="dxa"/>
              <w:left w:w="100" w:type="dxa"/>
              <w:bottom w:w="100" w:type="dxa"/>
              <w:right w:w="100" w:type="dxa"/>
            </w:tcMar>
          </w:tcPr>
          <w:p w14:paraId="07CA7156" w14:textId="77777777" w:rsidR="00FF3D17" w:rsidRPr="004B038C" w:rsidRDefault="00FF3D17" w:rsidP="009B243F">
            <w:pPr>
              <w:rPr>
                <w:rFonts w:asciiTheme="minorHAnsi" w:hAnsiTheme="minorHAnsi" w:cstheme="minorHAnsi"/>
                <w:b/>
                <w:sz w:val="21"/>
                <w:szCs w:val="21"/>
              </w:rPr>
            </w:pPr>
            <w:r w:rsidRPr="004B038C">
              <w:rPr>
                <w:rFonts w:asciiTheme="minorHAnsi" w:hAnsiTheme="minorHAnsi" w:cstheme="minorHAnsi"/>
                <w:b/>
                <w:sz w:val="21"/>
                <w:szCs w:val="21"/>
              </w:rPr>
              <w:t xml:space="preserve">Collecting Data and Adjusting Instructional Practices to Meet Learner Needs </w:t>
            </w:r>
          </w:p>
        </w:tc>
        <w:tc>
          <w:tcPr>
            <w:tcW w:w="6912" w:type="dxa"/>
            <w:shd w:val="clear" w:color="auto" w:fill="auto"/>
            <w:tcMar>
              <w:top w:w="100" w:type="dxa"/>
              <w:left w:w="100" w:type="dxa"/>
              <w:bottom w:w="100" w:type="dxa"/>
              <w:right w:w="100" w:type="dxa"/>
            </w:tcMar>
            <w:vAlign w:val="center"/>
          </w:tcPr>
          <w:p w14:paraId="7C6A97E1" w14:textId="77777777" w:rsidR="00FF3D17" w:rsidRPr="004B038C" w:rsidRDefault="00FF3D17" w:rsidP="00FF3D17">
            <w:pPr>
              <w:numPr>
                <w:ilvl w:val="0"/>
                <w:numId w:val="15"/>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Utilize informal and formal assessments to adjust lesson delivery and content (i.e., the teacher identifies the point in a task analysis where adjustments are needed and revise the activity accordingly). </w:t>
            </w:r>
            <w:hyperlink r:id="rId13">
              <w:r w:rsidRPr="004B038C">
                <w:rPr>
                  <w:rFonts w:asciiTheme="minorHAnsi" w:hAnsiTheme="minorHAnsi" w:cstheme="minorHAnsi"/>
                  <w:color w:val="1155CC"/>
                  <w:sz w:val="21"/>
                  <w:szCs w:val="21"/>
                  <w:u w:val="single"/>
                </w:rPr>
                <w:t>NCEO Brief: Five Formative Assessment Strategies to Improve Distance Learning Outcomes for Students with Disabilities (#20)</w:t>
              </w:r>
            </w:hyperlink>
          </w:p>
          <w:p w14:paraId="205186F2" w14:textId="77777777" w:rsidR="00FF3D17" w:rsidRPr="004B038C" w:rsidRDefault="00FF3D17" w:rsidP="00FF3D17">
            <w:pPr>
              <w:numPr>
                <w:ilvl w:val="0"/>
                <w:numId w:val="15"/>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Implement the use of a least-to-most prompt hierarchy to promote independence and success in relation to specific learning norms or routines. Record and track student responses in order to remove scaffolded supports once they are no longer needed.</w:t>
            </w:r>
          </w:p>
          <w:p w14:paraId="72B2B1FA" w14:textId="77777777" w:rsidR="00FF3D17" w:rsidRPr="004B038C" w:rsidRDefault="00FF3D17" w:rsidP="00FF3D17">
            <w:pPr>
              <w:numPr>
                <w:ilvl w:val="0"/>
                <w:numId w:val="15"/>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Document natural regressions, gaps, or inconsistencies within and across skills that have previously been learned, maintained, and generalized </w:t>
            </w:r>
            <w:hyperlink r:id="rId14">
              <w:r w:rsidRPr="004B038C">
                <w:rPr>
                  <w:rFonts w:asciiTheme="minorHAnsi" w:hAnsiTheme="minorHAnsi" w:cstheme="minorHAnsi"/>
                  <w:sz w:val="21"/>
                  <w:szCs w:val="21"/>
                </w:rPr>
                <w:t>(</w:t>
              </w:r>
              <w:r w:rsidRPr="004B038C">
                <w:rPr>
                  <w:rFonts w:asciiTheme="minorHAnsi" w:hAnsiTheme="minorHAnsi" w:cstheme="minorHAnsi"/>
                  <w:color w:val="1155CC"/>
                  <w:sz w:val="21"/>
                  <w:szCs w:val="21"/>
                  <w:u w:val="single"/>
                </w:rPr>
                <w:t>Formative Assessment for Students with Disabilities</w:t>
              </w:r>
            </w:hyperlink>
            <w:r w:rsidRPr="004B038C">
              <w:rPr>
                <w:rFonts w:asciiTheme="minorHAnsi" w:hAnsiTheme="minorHAnsi" w:cstheme="minorHAnsi"/>
                <w:sz w:val="21"/>
                <w:szCs w:val="21"/>
              </w:rPr>
              <w:t xml:space="preserve">). </w:t>
            </w:r>
          </w:p>
          <w:p w14:paraId="4C62A946" w14:textId="77777777" w:rsidR="00FF3D17" w:rsidRPr="004B038C" w:rsidRDefault="00FF3D17" w:rsidP="00FF3D17">
            <w:pPr>
              <w:numPr>
                <w:ilvl w:val="0"/>
                <w:numId w:val="15"/>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Distinguish patterns, routines, and needs that are emergent and/or changing based on the shifts in the learning environment (scheduling, staffing, class/grouping configurations). </w:t>
            </w:r>
          </w:p>
          <w:p w14:paraId="0004BA2D" w14:textId="77777777" w:rsidR="00FF3D17" w:rsidRPr="004B038C" w:rsidRDefault="00FF3D17" w:rsidP="00FF3D17">
            <w:pPr>
              <w:numPr>
                <w:ilvl w:val="0"/>
                <w:numId w:val="15"/>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Consider the use of embedded assessments such as the Dynamic Learning Maps (DLM) testlets to provide individualized feedback to address each student’s needs </w:t>
            </w:r>
            <w:hyperlink r:id="rId15" w:history="1">
              <w:r w:rsidRPr="004B038C">
                <w:rPr>
                  <w:rStyle w:val="Hyperlink"/>
                  <w:rFonts w:asciiTheme="minorHAnsi" w:hAnsiTheme="minorHAnsi" w:cstheme="minorHAnsi"/>
                  <w:sz w:val="21"/>
                  <w:szCs w:val="21"/>
                </w:rPr>
                <w:t>(DLM Instructionally Embedded Assessments</w:t>
              </w:r>
            </w:hyperlink>
            <w:r w:rsidRPr="004B038C">
              <w:rPr>
                <w:rFonts w:asciiTheme="minorHAnsi" w:hAnsiTheme="minorHAnsi" w:cstheme="minorHAnsi"/>
                <w:sz w:val="21"/>
                <w:szCs w:val="21"/>
              </w:rPr>
              <w:t>)</w:t>
            </w:r>
            <w:r w:rsidRPr="004B038C">
              <w:rPr>
                <w:rStyle w:val="Hyperlink"/>
                <w:rFonts w:asciiTheme="minorHAnsi" w:hAnsiTheme="minorHAnsi" w:cstheme="minorHAnsi"/>
                <w:color w:val="auto"/>
                <w:sz w:val="21"/>
                <w:szCs w:val="21"/>
              </w:rPr>
              <w:t xml:space="preserve"> CORRECT</w:t>
            </w:r>
            <w:r w:rsidRPr="004B038C">
              <w:rPr>
                <w:rFonts w:asciiTheme="minorHAnsi" w:hAnsiTheme="minorHAnsi" w:cstheme="minorHAnsi"/>
                <w:color w:val="000000"/>
                <w:sz w:val="21"/>
                <w:szCs w:val="21"/>
              </w:rPr>
              <w:t xml:space="preserve"> They are applicable across all learning environments.</w:t>
            </w:r>
          </w:p>
          <w:p w14:paraId="5066F85C" w14:textId="77777777" w:rsidR="00FF3D17" w:rsidRPr="004B038C" w:rsidRDefault="00FF3D17" w:rsidP="00FF3D17">
            <w:pPr>
              <w:numPr>
                <w:ilvl w:val="0"/>
                <w:numId w:val="15"/>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lastRenderedPageBreak/>
              <w:t xml:space="preserve">Examine where Social Emotional Learning (SEL) efforts have been impactful and where more support is needed (adjust the Behavior Intervention Plan, if needed). </w:t>
            </w:r>
          </w:p>
          <w:p w14:paraId="1952BB1D" w14:textId="77777777" w:rsidR="00FF3D17" w:rsidRPr="004B038C" w:rsidRDefault="00FF3D17" w:rsidP="00FF3D17">
            <w:pPr>
              <w:numPr>
                <w:ilvl w:val="0"/>
                <w:numId w:val="15"/>
              </w:numPr>
              <w:pBdr>
                <w:top w:val="nil"/>
                <w:left w:val="nil"/>
                <w:bottom w:val="nil"/>
                <w:right w:val="nil"/>
                <w:between w:val="nil"/>
              </w:pBdr>
              <w:shd w:val="clear" w:color="auto" w:fill="FFFFFF"/>
              <w:rPr>
                <w:rFonts w:asciiTheme="minorHAnsi" w:hAnsiTheme="minorHAnsi" w:cstheme="minorHAnsi"/>
                <w:color w:val="000000"/>
                <w:sz w:val="21"/>
                <w:szCs w:val="21"/>
              </w:rPr>
            </w:pPr>
            <w:r w:rsidRPr="004B038C">
              <w:rPr>
                <w:rFonts w:asciiTheme="minorHAnsi" w:hAnsiTheme="minorHAnsi" w:cstheme="minorHAnsi"/>
                <w:color w:val="000000"/>
                <w:sz w:val="21"/>
                <w:szCs w:val="21"/>
              </w:rPr>
              <w:t>Monitor environmental concerns that promote or interfere with learning so they can be modified, if possible, or documented to understand student performance.</w:t>
            </w:r>
          </w:p>
        </w:tc>
      </w:tr>
      <w:tr w:rsidR="00FF3D17" w:rsidRPr="004B038C" w14:paraId="2FA546F2" w14:textId="77777777" w:rsidTr="009B243F">
        <w:trPr>
          <w:trHeight w:val="663"/>
        </w:trPr>
        <w:tc>
          <w:tcPr>
            <w:tcW w:w="2736" w:type="dxa"/>
            <w:shd w:val="clear" w:color="auto" w:fill="auto"/>
            <w:tcMar>
              <w:top w:w="100" w:type="dxa"/>
              <w:left w:w="100" w:type="dxa"/>
              <w:bottom w:w="100" w:type="dxa"/>
              <w:right w:w="100" w:type="dxa"/>
            </w:tcMar>
          </w:tcPr>
          <w:p w14:paraId="778DFFC5" w14:textId="77777777" w:rsidR="00FF3D17" w:rsidRPr="004B038C" w:rsidRDefault="00FF3D17" w:rsidP="009B243F">
            <w:pPr>
              <w:widowControl w:val="0"/>
              <w:rPr>
                <w:rFonts w:asciiTheme="minorHAnsi" w:hAnsiTheme="minorHAnsi" w:cstheme="minorHAnsi"/>
                <w:b/>
                <w:sz w:val="21"/>
                <w:szCs w:val="21"/>
              </w:rPr>
            </w:pPr>
            <w:r w:rsidRPr="004B038C">
              <w:rPr>
                <w:rFonts w:asciiTheme="minorHAnsi" w:hAnsiTheme="minorHAnsi" w:cstheme="minorHAnsi"/>
                <w:b/>
                <w:sz w:val="21"/>
                <w:szCs w:val="21"/>
              </w:rPr>
              <w:lastRenderedPageBreak/>
              <w:t>Collaborative Partnerships</w:t>
            </w:r>
          </w:p>
        </w:tc>
        <w:tc>
          <w:tcPr>
            <w:tcW w:w="6912" w:type="dxa"/>
            <w:shd w:val="clear" w:color="auto" w:fill="auto"/>
            <w:tcMar>
              <w:top w:w="100" w:type="dxa"/>
              <w:left w:w="100" w:type="dxa"/>
              <w:bottom w:w="100" w:type="dxa"/>
              <w:right w:w="100" w:type="dxa"/>
            </w:tcMar>
          </w:tcPr>
          <w:p w14:paraId="1D9A2147" w14:textId="77777777" w:rsidR="00FF3D17" w:rsidRPr="004B038C" w:rsidRDefault="00FF3D17" w:rsidP="00FF3D17">
            <w:pPr>
              <w:numPr>
                <w:ilvl w:val="0"/>
                <w:numId w:val="16"/>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Develop a shared understanding of specific learning goals and routines to explicitly identify the</w:t>
            </w:r>
            <w:r w:rsidRPr="004B038C">
              <w:rPr>
                <w:rFonts w:asciiTheme="minorHAnsi" w:hAnsiTheme="minorHAnsi" w:cstheme="minorHAnsi"/>
                <w:b/>
                <w:i/>
                <w:color w:val="000000"/>
                <w:sz w:val="21"/>
                <w:szCs w:val="21"/>
              </w:rPr>
              <w:t xml:space="preserve"> what</w:t>
            </w:r>
            <w:r w:rsidRPr="004B038C">
              <w:rPr>
                <w:rFonts w:asciiTheme="minorHAnsi" w:hAnsiTheme="minorHAnsi" w:cstheme="minorHAnsi"/>
                <w:color w:val="000000"/>
                <w:sz w:val="21"/>
                <w:szCs w:val="21"/>
              </w:rPr>
              <w:t xml:space="preserve">, </w:t>
            </w:r>
            <w:r w:rsidRPr="004B038C">
              <w:rPr>
                <w:rFonts w:asciiTheme="minorHAnsi" w:hAnsiTheme="minorHAnsi" w:cstheme="minorHAnsi"/>
                <w:b/>
                <w:i/>
                <w:color w:val="000000"/>
                <w:sz w:val="21"/>
                <w:szCs w:val="21"/>
              </w:rPr>
              <w:t>how</w:t>
            </w:r>
            <w:r w:rsidRPr="004B038C">
              <w:rPr>
                <w:rFonts w:asciiTheme="minorHAnsi" w:hAnsiTheme="minorHAnsi" w:cstheme="minorHAnsi"/>
                <w:color w:val="000000"/>
                <w:sz w:val="21"/>
                <w:szCs w:val="21"/>
              </w:rPr>
              <w:t xml:space="preserve">, and </w:t>
            </w:r>
            <w:r w:rsidRPr="004B038C">
              <w:rPr>
                <w:rFonts w:asciiTheme="minorHAnsi" w:hAnsiTheme="minorHAnsi" w:cstheme="minorHAnsi"/>
                <w:b/>
                <w:i/>
                <w:color w:val="000000"/>
                <w:sz w:val="21"/>
                <w:szCs w:val="21"/>
              </w:rPr>
              <w:t>why</w:t>
            </w:r>
            <w:r w:rsidRPr="004B038C">
              <w:rPr>
                <w:rFonts w:asciiTheme="minorHAnsi" w:hAnsiTheme="minorHAnsi" w:cstheme="minorHAnsi"/>
                <w:color w:val="000000"/>
                <w:sz w:val="21"/>
                <w:szCs w:val="21"/>
              </w:rPr>
              <w:t xml:space="preserve"> of learning using an intentional schedule of collaborative meetings (virtual morning meetings or office hours, co-planning for instructional delivery, defining roles and responsibilities across learning environments).</w:t>
            </w:r>
          </w:p>
          <w:p w14:paraId="3CFB6C3F" w14:textId="77777777" w:rsidR="00FF3D17" w:rsidRPr="004B038C" w:rsidRDefault="00FF3D17" w:rsidP="00FF3D17">
            <w:pPr>
              <w:numPr>
                <w:ilvl w:val="0"/>
                <w:numId w:val="16"/>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Utilize a structure for organizing student data and input from all team members. </w:t>
            </w:r>
            <w:hyperlink r:id="rId16">
              <w:r w:rsidRPr="004B038C">
                <w:rPr>
                  <w:rFonts w:asciiTheme="minorHAnsi" w:hAnsiTheme="minorHAnsi" w:cstheme="minorHAnsi"/>
                  <w:color w:val="0563C1"/>
                  <w:sz w:val="21"/>
                  <w:szCs w:val="21"/>
                  <w:u w:val="single"/>
                </w:rPr>
                <w:t>The Learning Matrix Tool</w:t>
              </w:r>
            </w:hyperlink>
            <w:r w:rsidRPr="004B038C">
              <w:rPr>
                <w:rFonts w:asciiTheme="minorHAnsi" w:hAnsiTheme="minorHAnsi" w:cstheme="minorHAnsi"/>
                <w:color w:val="000000"/>
                <w:sz w:val="21"/>
                <w:szCs w:val="21"/>
              </w:rPr>
              <w:t xml:space="preserve"> and/or </w:t>
            </w:r>
            <w:hyperlink r:id="rId17">
              <w:r w:rsidRPr="004B038C">
                <w:rPr>
                  <w:rFonts w:asciiTheme="minorHAnsi" w:hAnsiTheme="minorHAnsi" w:cstheme="minorHAnsi"/>
                  <w:color w:val="0563C1"/>
                  <w:sz w:val="21"/>
                  <w:szCs w:val="21"/>
                  <w:u w:val="single"/>
                </w:rPr>
                <w:t>Creating a PBIS Behavior Teaching Matrix for Remote Instruction</w:t>
              </w:r>
            </w:hyperlink>
            <w:r w:rsidRPr="004B038C">
              <w:rPr>
                <w:rFonts w:asciiTheme="minorHAnsi" w:hAnsiTheme="minorHAnsi" w:cstheme="minorHAnsi"/>
                <w:color w:val="000000"/>
                <w:sz w:val="21"/>
                <w:szCs w:val="21"/>
              </w:rPr>
              <w:t xml:space="preserve"> may be used to support this collaboration and planning. </w:t>
            </w:r>
          </w:p>
          <w:p w14:paraId="1474835B" w14:textId="77777777" w:rsidR="00FF3D17" w:rsidRPr="004B038C" w:rsidRDefault="00FF3D17" w:rsidP="00FF3D17">
            <w:pPr>
              <w:numPr>
                <w:ilvl w:val="0"/>
                <w:numId w:val="16"/>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Anticipate challenges or barriers (social-emotional, behavioral, or adaptive skills) to the application of norms, routines, and practices (</w:t>
            </w:r>
            <w:hyperlink r:id="rId18">
              <w:r w:rsidRPr="004B038C">
                <w:rPr>
                  <w:rFonts w:asciiTheme="minorHAnsi" w:hAnsiTheme="minorHAnsi" w:cstheme="minorHAnsi"/>
                  <w:color w:val="0563C1"/>
                  <w:sz w:val="21"/>
                  <w:szCs w:val="21"/>
                  <w:u w:val="single"/>
                </w:rPr>
                <w:t>Supporting Students with Disabilities at School and Home</w:t>
              </w:r>
            </w:hyperlink>
            <w:r w:rsidRPr="004B038C">
              <w:rPr>
                <w:rFonts w:asciiTheme="minorHAnsi" w:hAnsiTheme="minorHAnsi" w:cstheme="minorHAnsi"/>
                <w:color w:val="000000"/>
                <w:sz w:val="21"/>
                <w:szCs w:val="21"/>
              </w:rPr>
              <w:t>).</w:t>
            </w:r>
          </w:p>
          <w:p w14:paraId="54E00510" w14:textId="77777777" w:rsidR="00FF3D17" w:rsidRPr="004B038C" w:rsidRDefault="00FF3D17" w:rsidP="00FF3D17">
            <w:pPr>
              <w:numPr>
                <w:ilvl w:val="0"/>
                <w:numId w:val="16"/>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Utilize ZOOM or Google Meets parent groups to share strategies, supports, and resources as a community in an informal setting.</w:t>
            </w:r>
          </w:p>
          <w:p w14:paraId="7499141B" w14:textId="77777777" w:rsidR="00FF3D17" w:rsidRPr="004B038C" w:rsidRDefault="00FF3D17" w:rsidP="00FF3D17">
            <w:pPr>
              <w:numPr>
                <w:ilvl w:val="0"/>
                <w:numId w:val="16"/>
              </w:numPr>
              <w:pBdr>
                <w:top w:val="nil"/>
                <w:left w:val="nil"/>
                <w:bottom w:val="nil"/>
                <w:right w:val="nil"/>
                <w:between w:val="nil"/>
              </w:pBdr>
              <w:rPr>
                <w:rFonts w:asciiTheme="minorHAnsi" w:hAnsiTheme="minorHAnsi" w:cstheme="minorHAnsi"/>
                <w:color w:val="000000"/>
                <w:sz w:val="21"/>
                <w:szCs w:val="21"/>
              </w:rPr>
            </w:pPr>
            <w:r w:rsidRPr="004B038C">
              <w:rPr>
                <w:rFonts w:asciiTheme="minorHAnsi" w:hAnsiTheme="minorHAnsi" w:cstheme="minorHAnsi"/>
                <w:color w:val="000000"/>
                <w:sz w:val="21"/>
                <w:szCs w:val="21"/>
              </w:rPr>
              <w:t>Consider safety concerns or individualized supports necessary for the student that are specific to the instructional setting (virtual, hybrid, and in-person learning). Identify the roles and responsibilities of individuals providing supports.</w:t>
            </w:r>
          </w:p>
        </w:tc>
      </w:tr>
      <w:tr w:rsidR="00FF3D17" w:rsidRPr="004B038C" w14:paraId="331F176E" w14:textId="77777777" w:rsidTr="009B243F">
        <w:trPr>
          <w:trHeight w:val="1743"/>
        </w:trPr>
        <w:tc>
          <w:tcPr>
            <w:tcW w:w="2736" w:type="dxa"/>
            <w:shd w:val="clear" w:color="auto" w:fill="auto"/>
            <w:tcMar>
              <w:top w:w="100" w:type="dxa"/>
              <w:left w:w="100" w:type="dxa"/>
              <w:bottom w:w="100" w:type="dxa"/>
              <w:right w:w="100" w:type="dxa"/>
            </w:tcMar>
          </w:tcPr>
          <w:p w14:paraId="729F848F" w14:textId="77777777" w:rsidR="00FF3D17" w:rsidRPr="004B038C" w:rsidRDefault="00FF3D17" w:rsidP="009B243F">
            <w:pPr>
              <w:widowControl w:val="0"/>
              <w:rPr>
                <w:rFonts w:asciiTheme="minorHAnsi" w:hAnsiTheme="minorHAnsi" w:cstheme="minorHAnsi"/>
                <w:b/>
                <w:sz w:val="21"/>
                <w:szCs w:val="21"/>
              </w:rPr>
            </w:pPr>
            <w:r w:rsidRPr="004B038C">
              <w:rPr>
                <w:rFonts w:asciiTheme="minorHAnsi" w:hAnsiTheme="minorHAnsi" w:cstheme="minorHAnsi"/>
                <w:b/>
                <w:sz w:val="21"/>
                <w:szCs w:val="21"/>
              </w:rPr>
              <w:t>Capacity Building/Supports to Staff</w:t>
            </w:r>
          </w:p>
        </w:tc>
        <w:tc>
          <w:tcPr>
            <w:tcW w:w="6912" w:type="dxa"/>
            <w:shd w:val="clear" w:color="auto" w:fill="auto"/>
            <w:tcMar>
              <w:top w:w="100" w:type="dxa"/>
              <w:left w:w="100" w:type="dxa"/>
              <w:bottom w:w="100" w:type="dxa"/>
              <w:right w:w="100" w:type="dxa"/>
            </w:tcMar>
          </w:tcPr>
          <w:p w14:paraId="6CAD4933" w14:textId="77777777" w:rsidR="00FF3D17" w:rsidRPr="004B038C" w:rsidRDefault="00FF3D17" w:rsidP="00FF3D17">
            <w:pPr>
              <w:numPr>
                <w:ilvl w:val="0"/>
                <w:numId w:val="13"/>
              </w:numPr>
              <w:pBdr>
                <w:top w:val="nil"/>
                <w:left w:val="nil"/>
                <w:bottom w:val="nil"/>
                <w:right w:val="nil"/>
                <w:between w:val="nil"/>
              </w:pBdr>
              <w:ind w:left="360"/>
              <w:rPr>
                <w:rFonts w:asciiTheme="minorHAnsi" w:hAnsiTheme="minorHAnsi" w:cstheme="minorHAnsi"/>
                <w:color w:val="000000"/>
                <w:sz w:val="21"/>
                <w:szCs w:val="21"/>
              </w:rPr>
            </w:pPr>
            <w:r w:rsidRPr="004B038C">
              <w:rPr>
                <w:rFonts w:asciiTheme="minorHAnsi" w:hAnsiTheme="minorHAnsi" w:cstheme="minorHAnsi"/>
                <w:color w:val="000000"/>
                <w:sz w:val="21"/>
                <w:szCs w:val="21"/>
              </w:rPr>
              <w:t>Utilize a needs assessment process to determine the training support needs of families, paraeducators, teachers, and/or related service providers in response to roles and responsibilities across learning environments (</w:t>
            </w:r>
            <w:hyperlink r:id="rId19" w:history="1">
              <w:r w:rsidRPr="004B038C">
                <w:rPr>
                  <w:rStyle w:val="Hyperlink"/>
                  <w:rFonts w:asciiTheme="minorHAnsi" w:hAnsiTheme="minorHAnsi" w:cstheme="minorHAnsi"/>
                  <w:sz w:val="21"/>
                  <w:szCs w:val="21"/>
                </w:rPr>
                <w:t>COVID – 19 Crisis Response Resource by Topic/Area</w:t>
              </w:r>
            </w:hyperlink>
            <w:r w:rsidRPr="004B038C">
              <w:rPr>
                <w:rFonts w:asciiTheme="minorHAnsi" w:hAnsiTheme="minorHAnsi" w:cstheme="minorHAnsi"/>
                <w:color w:val="000000"/>
                <w:sz w:val="21"/>
                <w:szCs w:val="21"/>
              </w:rPr>
              <w:t xml:space="preserve">). </w:t>
            </w:r>
          </w:p>
          <w:p w14:paraId="4EDE0F0E" w14:textId="77777777" w:rsidR="00FF3D17" w:rsidRPr="004B038C" w:rsidRDefault="00FF3D17" w:rsidP="00FF3D17">
            <w:pPr>
              <w:numPr>
                <w:ilvl w:val="0"/>
                <w:numId w:val="13"/>
              </w:numPr>
              <w:pBdr>
                <w:top w:val="nil"/>
                <w:left w:val="nil"/>
                <w:bottom w:val="nil"/>
                <w:right w:val="nil"/>
                <w:between w:val="nil"/>
              </w:pBdr>
              <w:ind w:left="360"/>
              <w:rPr>
                <w:rFonts w:asciiTheme="minorHAnsi" w:hAnsiTheme="minorHAnsi" w:cstheme="minorHAnsi"/>
                <w:color w:val="000000"/>
                <w:sz w:val="21"/>
                <w:szCs w:val="21"/>
              </w:rPr>
            </w:pPr>
            <w:r w:rsidRPr="004B038C">
              <w:rPr>
                <w:rFonts w:asciiTheme="minorHAnsi" w:hAnsiTheme="minorHAnsi" w:cstheme="minorHAnsi"/>
                <w:color w:val="000000"/>
                <w:sz w:val="21"/>
                <w:szCs w:val="21"/>
              </w:rPr>
              <w:t>Leverage local expertise to provide the high-quality professional development, coaching, and resources necessary to support training relative to specific needs (changes to learning platforms, low-tech/high-tech accessibility, travel training, and transportation, trauma-based interventions) across learning environments.</w:t>
            </w:r>
          </w:p>
          <w:p w14:paraId="37F46AB9" w14:textId="77777777" w:rsidR="00FF3D17" w:rsidRPr="004B038C" w:rsidRDefault="00FF3D17" w:rsidP="00FF3D17">
            <w:pPr>
              <w:numPr>
                <w:ilvl w:val="0"/>
                <w:numId w:val="13"/>
              </w:numPr>
              <w:pBdr>
                <w:top w:val="nil"/>
                <w:left w:val="nil"/>
                <w:bottom w:val="nil"/>
                <w:right w:val="nil"/>
                <w:between w:val="nil"/>
              </w:pBdr>
              <w:ind w:left="360"/>
              <w:rPr>
                <w:rFonts w:asciiTheme="minorHAnsi" w:hAnsiTheme="minorHAnsi" w:cstheme="minorHAnsi"/>
                <w:color w:val="000000"/>
                <w:sz w:val="21"/>
                <w:szCs w:val="21"/>
              </w:rPr>
            </w:pPr>
            <w:r w:rsidRPr="004B038C">
              <w:rPr>
                <w:rFonts w:asciiTheme="minorHAnsi" w:hAnsiTheme="minorHAnsi" w:cstheme="minorHAnsi"/>
                <w:color w:val="000000"/>
                <w:sz w:val="21"/>
                <w:szCs w:val="21"/>
              </w:rPr>
              <w:t>Provide an orientation prior to the implementation of the learning model (virtual, hybrid, and in-person learning). Identify and model norms, routines, and practices necessary for a successful transition for students, families, and school personnel.</w:t>
            </w:r>
          </w:p>
          <w:p w14:paraId="36AEFE7E" w14:textId="77777777" w:rsidR="00FF3D17" w:rsidRPr="004B038C" w:rsidRDefault="00FF3D17" w:rsidP="00FF3D17">
            <w:pPr>
              <w:numPr>
                <w:ilvl w:val="0"/>
                <w:numId w:val="13"/>
              </w:numPr>
              <w:pBdr>
                <w:top w:val="nil"/>
                <w:left w:val="nil"/>
                <w:bottom w:val="nil"/>
                <w:right w:val="nil"/>
                <w:between w:val="nil"/>
              </w:pBdr>
              <w:ind w:left="360"/>
              <w:rPr>
                <w:rFonts w:asciiTheme="minorHAnsi" w:hAnsiTheme="minorHAnsi" w:cstheme="minorHAnsi"/>
                <w:color w:val="000000"/>
                <w:sz w:val="21"/>
                <w:szCs w:val="21"/>
              </w:rPr>
            </w:pPr>
            <w:r w:rsidRPr="004B038C">
              <w:rPr>
                <w:rFonts w:asciiTheme="minorHAnsi" w:hAnsiTheme="minorHAnsi" w:cstheme="minorHAnsi"/>
                <w:color w:val="000000"/>
                <w:sz w:val="21"/>
                <w:szCs w:val="21"/>
              </w:rPr>
              <w:t>Communicate and calibrate expectations for staff responses to student behavior associated with health and safety requirements, such as the use of PPE, social distancing, physical contact, and interactions consistent with additional health and safety requirements. (Adjust classroom management plans or Behavioral Intervention Plans [BIPs].)</w:t>
            </w:r>
          </w:p>
          <w:p w14:paraId="726605F5" w14:textId="77777777" w:rsidR="00FF3D17" w:rsidRPr="004B038C" w:rsidRDefault="00FF3D17" w:rsidP="00FF3D17">
            <w:pPr>
              <w:numPr>
                <w:ilvl w:val="0"/>
                <w:numId w:val="13"/>
              </w:numPr>
              <w:pBdr>
                <w:top w:val="nil"/>
                <w:left w:val="nil"/>
                <w:bottom w:val="nil"/>
                <w:right w:val="nil"/>
                <w:between w:val="nil"/>
              </w:pBdr>
              <w:ind w:left="360"/>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Establish an instructional hub or resource bank of </w:t>
            </w:r>
            <w:hyperlink r:id="rId20">
              <w:r w:rsidRPr="004B038C">
                <w:rPr>
                  <w:rFonts w:asciiTheme="minorHAnsi" w:hAnsiTheme="minorHAnsi" w:cstheme="minorHAnsi"/>
                  <w:color w:val="0563C1"/>
                  <w:sz w:val="21"/>
                  <w:szCs w:val="21"/>
                  <w:u w:val="single"/>
                </w:rPr>
                <w:t>High Leverage Practices</w:t>
              </w:r>
            </w:hyperlink>
            <w:r w:rsidRPr="004B038C">
              <w:rPr>
                <w:rFonts w:asciiTheme="minorHAnsi" w:hAnsiTheme="minorHAnsi" w:cstheme="minorHAnsi"/>
                <w:color w:val="000000"/>
                <w:sz w:val="21"/>
                <w:szCs w:val="21"/>
              </w:rPr>
              <w:t>, strategies, supports, and lesson seeds, emphasizing continuity of learning priorities across learning environments.</w:t>
            </w:r>
          </w:p>
          <w:p w14:paraId="4EFF6E35" w14:textId="77777777" w:rsidR="00FF3D17" w:rsidRPr="004B038C" w:rsidRDefault="00FF3D17" w:rsidP="00FF3D17">
            <w:pPr>
              <w:numPr>
                <w:ilvl w:val="0"/>
                <w:numId w:val="13"/>
              </w:numPr>
              <w:pBdr>
                <w:top w:val="nil"/>
                <w:left w:val="nil"/>
                <w:bottom w:val="nil"/>
                <w:right w:val="nil"/>
                <w:between w:val="nil"/>
              </w:pBdr>
              <w:ind w:left="360"/>
              <w:rPr>
                <w:rFonts w:asciiTheme="minorHAnsi" w:hAnsiTheme="minorHAnsi" w:cstheme="minorHAnsi"/>
                <w:color w:val="000000"/>
                <w:sz w:val="21"/>
                <w:szCs w:val="21"/>
              </w:rPr>
            </w:pPr>
            <w:r w:rsidRPr="004B038C">
              <w:rPr>
                <w:rFonts w:asciiTheme="minorHAnsi" w:hAnsiTheme="minorHAnsi" w:cstheme="minorHAnsi"/>
                <w:color w:val="000000"/>
                <w:sz w:val="21"/>
                <w:szCs w:val="21"/>
              </w:rPr>
              <w:lastRenderedPageBreak/>
              <w:t xml:space="preserve">Set aside time for staff to process emotions and experiences and reflect on their learning and application of social and emotional </w:t>
            </w:r>
            <w:r w:rsidRPr="004B038C">
              <w:rPr>
                <w:rFonts w:asciiTheme="minorHAnsi" w:hAnsiTheme="minorHAnsi" w:cstheme="minorHAnsi"/>
                <w:sz w:val="21"/>
                <w:szCs w:val="21"/>
              </w:rPr>
              <w:t xml:space="preserve">competencies </w:t>
            </w:r>
            <w:r w:rsidRPr="004B038C">
              <w:rPr>
                <w:rFonts w:asciiTheme="minorHAnsi" w:hAnsiTheme="minorHAnsi" w:cstheme="minorHAnsi"/>
                <w:color w:val="000000"/>
                <w:sz w:val="21"/>
                <w:szCs w:val="21"/>
              </w:rPr>
              <w:t xml:space="preserve">to effectively collaborate on the support of students’ SEL throughout in-person or distance learning. </w:t>
            </w:r>
          </w:p>
          <w:p w14:paraId="3833B7CD" w14:textId="77777777" w:rsidR="00FF3D17" w:rsidRPr="004B038C" w:rsidRDefault="00FF3D17" w:rsidP="00FF3D17">
            <w:pPr>
              <w:numPr>
                <w:ilvl w:val="0"/>
                <w:numId w:val="13"/>
              </w:numPr>
              <w:pBdr>
                <w:top w:val="nil"/>
                <w:left w:val="nil"/>
                <w:bottom w:val="nil"/>
                <w:right w:val="nil"/>
                <w:between w:val="nil"/>
              </w:pBdr>
              <w:ind w:left="360"/>
              <w:rPr>
                <w:rFonts w:asciiTheme="minorHAnsi" w:hAnsiTheme="minorHAnsi" w:cstheme="minorHAnsi"/>
                <w:color w:val="000000"/>
                <w:sz w:val="21"/>
                <w:szCs w:val="21"/>
              </w:rPr>
            </w:pPr>
            <w:r w:rsidRPr="004B038C">
              <w:rPr>
                <w:rFonts w:asciiTheme="minorHAnsi" w:hAnsiTheme="minorHAnsi" w:cstheme="minorHAnsi"/>
                <w:color w:val="000000"/>
                <w:sz w:val="21"/>
                <w:szCs w:val="21"/>
              </w:rPr>
              <w:t xml:space="preserve">Provide training and resources to all staff, providers, and family members to ensure the cleanliness of communication devices and laptops that may need to travel between the home and school (whenever possible, provide duplicate or stay at home resources). </w:t>
            </w:r>
          </w:p>
        </w:tc>
      </w:tr>
    </w:tbl>
    <w:p w14:paraId="4AD29646" w14:textId="03914767" w:rsidR="004B038C" w:rsidRDefault="004B038C" w:rsidP="003A46E4">
      <w:pPr>
        <w:rPr>
          <w:rFonts w:asciiTheme="minorHAnsi" w:hAnsiTheme="minorHAnsi" w:cstheme="minorHAnsi"/>
          <w:sz w:val="21"/>
          <w:szCs w:val="21"/>
        </w:rPr>
      </w:pPr>
    </w:p>
    <w:p w14:paraId="776CF7DB" w14:textId="77777777" w:rsidR="004B038C" w:rsidRDefault="004B038C">
      <w:pPr>
        <w:rPr>
          <w:rFonts w:asciiTheme="minorHAnsi" w:hAnsiTheme="minorHAnsi" w:cstheme="minorHAnsi"/>
          <w:sz w:val="21"/>
          <w:szCs w:val="21"/>
        </w:rPr>
      </w:pPr>
      <w:r>
        <w:rPr>
          <w:rFonts w:asciiTheme="minorHAnsi" w:hAnsiTheme="minorHAnsi" w:cstheme="minorHAnsi"/>
          <w:sz w:val="21"/>
          <w:szCs w:val="21"/>
        </w:rPr>
        <w:br w:type="page"/>
      </w:r>
    </w:p>
    <w:p w14:paraId="3EA60EC4" w14:textId="77777777" w:rsidR="003A46E4" w:rsidRPr="004B038C" w:rsidRDefault="003A46E4" w:rsidP="003A46E4">
      <w:pPr>
        <w:rPr>
          <w:rFonts w:asciiTheme="minorHAnsi" w:hAnsiTheme="minorHAnsi" w:cstheme="minorHAnsi"/>
          <w:sz w:val="21"/>
          <w:szCs w:val="21"/>
        </w:rPr>
      </w:pPr>
    </w:p>
    <w:p w14:paraId="0BDBE7EE" w14:textId="77777777" w:rsidR="00E66132" w:rsidRDefault="00E66132" w:rsidP="0001631B">
      <w:pPr>
        <w:pBdr>
          <w:top w:val="single" w:sz="4" w:space="1" w:color="auto"/>
        </w:pBdr>
        <w:jc w:val="both"/>
        <w:rPr>
          <w:rFonts w:ascii="Calibri" w:hAnsi="Calibri" w:cs="Calibri"/>
          <w:sz w:val="16"/>
          <w:szCs w:val="16"/>
        </w:rPr>
      </w:pPr>
    </w:p>
    <w:p w14:paraId="348B2CA5"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5A3C7C86"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p>
    <w:p w14:paraId="5D81FE90"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Franczkowski,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5F0FCB01"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p>
    <w:p w14:paraId="7BEBC664" w14:textId="77777777" w:rsidR="004B038C" w:rsidRPr="00227CF7" w:rsidRDefault="004B038C" w:rsidP="004B038C">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1F26F326"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p>
    <w:p w14:paraId="344AC65B" w14:textId="77777777" w:rsidR="004B038C" w:rsidRPr="00227CF7" w:rsidRDefault="004B038C" w:rsidP="004B038C">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33A86AD3"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p>
    <w:p w14:paraId="5F16EB5B"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0D4FDF93"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p>
    <w:p w14:paraId="4C40B1E4" w14:textId="77777777" w:rsidR="004B038C" w:rsidRPr="00227CF7" w:rsidRDefault="004B038C" w:rsidP="004B038C">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68F5471A"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p>
    <w:p w14:paraId="24B59108" w14:textId="77777777" w:rsidR="004B038C" w:rsidRPr="00227CF7" w:rsidRDefault="004B038C" w:rsidP="004B038C">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Marcella E. Franczkowski,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6489988D" w14:textId="77777777" w:rsidR="004B038C" w:rsidRPr="00227CF7" w:rsidRDefault="004B038C" w:rsidP="004B038C">
      <w:pPr>
        <w:autoSpaceDE w:val="0"/>
        <w:autoSpaceDN w:val="0"/>
        <w:adjustRightInd w:val="0"/>
        <w:ind w:right="-414"/>
        <w:rPr>
          <w:rFonts w:asciiTheme="minorHAnsi" w:hAnsiTheme="minorHAnsi" w:cstheme="minorHAnsi"/>
          <w:sz w:val="16"/>
          <w:szCs w:val="16"/>
        </w:rPr>
      </w:pPr>
    </w:p>
    <w:p w14:paraId="0DAE3F5A" w14:textId="77777777" w:rsidR="004B038C" w:rsidRPr="00227CF7" w:rsidRDefault="004B038C" w:rsidP="004B038C">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70C12946" w14:textId="77777777" w:rsidR="004B038C" w:rsidRPr="00227CF7" w:rsidRDefault="004B038C" w:rsidP="004B038C">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3D594A81" w14:textId="77777777" w:rsidR="004B038C" w:rsidRPr="00227CF7" w:rsidRDefault="00000000" w:rsidP="004B038C">
      <w:pPr>
        <w:autoSpaceDE w:val="0"/>
        <w:autoSpaceDN w:val="0"/>
        <w:adjustRightInd w:val="0"/>
        <w:ind w:right="-720"/>
        <w:rPr>
          <w:rFonts w:asciiTheme="minorHAnsi" w:hAnsiTheme="minorHAnsi" w:cstheme="minorHAnsi"/>
          <w:color w:val="0563C1"/>
          <w:sz w:val="16"/>
          <w:szCs w:val="16"/>
          <w:u w:val="single" w:color="0563C1"/>
        </w:rPr>
      </w:pPr>
      <w:hyperlink r:id="rId21" w:history="1">
        <w:r w:rsidR="004B038C" w:rsidRPr="00227CF7">
          <w:rPr>
            <w:rFonts w:asciiTheme="minorHAnsi" w:hAnsiTheme="minorHAnsi" w:cstheme="minorHAnsi"/>
            <w:color w:val="0563C1"/>
            <w:sz w:val="16"/>
            <w:szCs w:val="16"/>
            <w:u w:val="single" w:color="0563C1"/>
          </w:rPr>
          <w:t>MarylandPublicSchools.org</w:t>
        </w:r>
      </w:hyperlink>
    </w:p>
    <w:p w14:paraId="258C1C3E" w14:textId="77777777" w:rsidR="004B038C" w:rsidRPr="00227CF7" w:rsidRDefault="00000000" w:rsidP="004B038C">
      <w:pPr>
        <w:autoSpaceDE w:val="0"/>
        <w:autoSpaceDN w:val="0"/>
        <w:adjustRightInd w:val="0"/>
        <w:ind w:right="-720"/>
        <w:rPr>
          <w:rFonts w:asciiTheme="minorHAnsi" w:hAnsiTheme="minorHAnsi" w:cstheme="minorHAnsi"/>
          <w:sz w:val="16"/>
          <w:szCs w:val="16"/>
        </w:rPr>
      </w:pPr>
      <w:hyperlink r:id="rId22" w:history="1">
        <w:r w:rsidR="004B038C" w:rsidRPr="00227CF7">
          <w:rPr>
            <w:rStyle w:val="Hyperlink"/>
            <w:rFonts w:asciiTheme="minorHAnsi" w:hAnsiTheme="minorHAnsi" w:cstheme="minorHAnsi"/>
            <w:sz w:val="16"/>
            <w:szCs w:val="16"/>
          </w:rPr>
          <w:t>MarylandLearningLinks.org</w:t>
        </w:r>
      </w:hyperlink>
    </w:p>
    <w:p w14:paraId="661666AF" w14:textId="302FCAFE" w:rsidR="00E945B0" w:rsidRPr="00E945B0" w:rsidRDefault="00E945B0" w:rsidP="004B038C">
      <w:pPr>
        <w:pBdr>
          <w:top w:val="single" w:sz="4" w:space="1" w:color="auto"/>
        </w:pBdr>
        <w:jc w:val="both"/>
        <w:rPr>
          <w:rFonts w:ascii="Calibri" w:hAnsi="Calibri" w:cs="Calibri"/>
          <w:sz w:val="16"/>
          <w:szCs w:val="16"/>
        </w:rPr>
      </w:pPr>
    </w:p>
    <w:sectPr w:rsidR="00E945B0" w:rsidRPr="00E945B0" w:rsidSect="00F26CE6">
      <w:headerReference w:type="default" r:id="rId23"/>
      <w:footerReference w:type="even" r:id="rId24"/>
      <w:footerReference w:type="default" r:id="rId25"/>
      <w:footerReference w:type="first" r:id="rId26"/>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663F" w14:textId="77777777" w:rsidR="00F57CE7" w:rsidRDefault="00F57CE7">
      <w:r>
        <w:separator/>
      </w:r>
    </w:p>
  </w:endnote>
  <w:endnote w:type="continuationSeparator" w:id="0">
    <w:p w14:paraId="2D4DF0B0" w14:textId="77777777" w:rsidR="00F57CE7" w:rsidRDefault="00F5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59198FBC"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AC06EC"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0A831C3D"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62DF1697"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6530" w14:textId="7EECD113" w:rsidR="00807853" w:rsidRPr="009F7127" w:rsidRDefault="009F7127" w:rsidP="004766B5">
    <w:pPr>
      <w:pStyle w:val="Footer"/>
      <w:jc w:val="center"/>
      <w:rPr>
        <w:rFonts w:ascii="Calibri" w:hAnsi="Calibri" w:cs="Calibri"/>
        <w:sz w:val="14"/>
        <w:szCs w:val="14"/>
        <w:lang w:val="en-US"/>
      </w:rPr>
    </w:pPr>
    <w:r w:rsidRPr="009F7127">
      <w:rPr>
        <w:rFonts w:ascii="Calibri" w:hAnsi="Calibri" w:cs="Calibri"/>
        <w:sz w:val="14"/>
        <w:szCs w:val="14"/>
      </w:rPr>
      <w:t>© 202</w:t>
    </w:r>
    <w:r w:rsidR="00FB2DB0">
      <w:rPr>
        <w:rFonts w:ascii="Calibri" w:hAnsi="Calibri" w:cs="Calibri"/>
        <w:sz w:val="14"/>
        <w:szCs w:val="14"/>
        <w:lang w:val="en-US"/>
      </w:rPr>
      <w:t>2</w:t>
    </w:r>
    <w:r w:rsidRPr="009F7127">
      <w:rPr>
        <w:rFonts w:ascii="Calibri" w:hAnsi="Calibri" w:cs="Calibri"/>
        <w:sz w:val="14"/>
        <w:szCs w:val="14"/>
      </w:rPr>
      <w:t xml:space="preserve">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 and Special Education Services</w:t>
    </w:r>
    <w:r w:rsidR="004766B5">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61FB" w14:textId="77777777" w:rsidR="00F57CE7" w:rsidRDefault="00F57CE7">
      <w:r>
        <w:separator/>
      </w:r>
    </w:p>
  </w:footnote>
  <w:footnote w:type="continuationSeparator" w:id="0">
    <w:p w14:paraId="701D6E9F" w14:textId="77777777" w:rsidR="00F57CE7" w:rsidRDefault="00F57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B0D1" w14:textId="77777777" w:rsidR="003A46E4" w:rsidRDefault="003A46E4">
    <w:pPr>
      <w:pStyle w:val="Header"/>
      <w:rPr>
        <w:rFonts w:ascii="Calibri" w:hAnsi="Calibri" w:cs="Calibri"/>
        <w:b/>
        <w:sz w:val="22"/>
        <w:szCs w:val="22"/>
        <w:lang w:val="en-US"/>
      </w:rPr>
    </w:pPr>
  </w:p>
  <w:p w14:paraId="7907147E"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1FAA2C6C"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5E76EE72" w14:textId="77777777" w:rsidR="003A46E4" w:rsidRDefault="00FF3D17">
    <w:pPr>
      <w:pStyle w:val="Header"/>
      <w:rPr>
        <w:rFonts w:ascii="Calibri" w:hAnsi="Calibri" w:cs="Calibri"/>
        <w:b/>
        <w:i/>
        <w:color w:val="000000" w:themeColor="text1"/>
        <w:sz w:val="20"/>
        <w:szCs w:val="20"/>
        <w:lang w:val="en-US"/>
      </w:rPr>
    </w:pPr>
    <w:r w:rsidRPr="009D3C2E">
      <w:rPr>
        <w:rFonts w:ascii="Calibri" w:hAnsi="Calibri" w:cs="Calibri"/>
        <w:b/>
        <w:i/>
        <w:color w:val="000000" w:themeColor="text1"/>
        <w:sz w:val="20"/>
        <w:szCs w:val="20"/>
        <w:lang w:val="en-US"/>
      </w:rPr>
      <w:t xml:space="preserve">TIPs for </w:t>
    </w:r>
    <w:r w:rsidRPr="00FF3D17">
      <w:rPr>
        <w:rFonts w:ascii="Calibri" w:hAnsi="Calibri" w:cs="Calibri"/>
        <w:b/>
        <w:i/>
        <w:color w:val="000000" w:themeColor="text1"/>
        <w:sz w:val="20"/>
        <w:szCs w:val="20"/>
        <w:lang w:val="en-US"/>
      </w:rPr>
      <w:t>Supporting Students Who Require Extensive, Intensive, Individualized Instruction and Supports through Alternative Service Delivery Models</w:t>
    </w:r>
  </w:p>
  <w:p w14:paraId="13A662A2" w14:textId="77777777" w:rsidR="00FF3D17" w:rsidRPr="00FF3D17" w:rsidRDefault="00FF3D17">
    <w:pPr>
      <w:pStyle w:val="Header"/>
      <w:rPr>
        <w:rFonts w:ascii="Calibri" w:hAnsi="Calibri" w:cs="Calibri"/>
        <w:b/>
        <w:i/>
        <w:color w:val="000000" w:themeColor="text1"/>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7994"/>
    <w:multiLevelType w:val="multilevel"/>
    <w:tmpl w:val="D27A29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EAC7A96"/>
    <w:multiLevelType w:val="multilevel"/>
    <w:tmpl w:val="46580DAE"/>
    <w:lvl w:ilvl="0">
      <w:start w:val="1"/>
      <w:numFmt w:val="bullet"/>
      <w:lvlText w:val="●"/>
      <w:lvlJc w:val="left"/>
      <w:pPr>
        <w:ind w:left="-306" w:hanging="360"/>
      </w:pPr>
      <w:rPr>
        <w:rFonts w:ascii="Noto Sans Symbols" w:eastAsia="Noto Sans Symbols" w:hAnsi="Noto Sans Symbols" w:cs="Noto Sans Symbols"/>
      </w:rPr>
    </w:lvl>
    <w:lvl w:ilvl="1">
      <w:start w:val="1"/>
      <w:numFmt w:val="bullet"/>
      <w:lvlText w:val="o"/>
      <w:lvlJc w:val="left"/>
      <w:pPr>
        <w:ind w:left="414" w:hanging="360"/>
      </w:pPr>
      <w:rPr>
        <w:rFonts w:ascii="Courier New" w:eastAsia="Courier New" w:hAnsi="Courier New" w:cs="Courier New"/>
      </w:rPr>
    </w:lvl>
    <w:lvl w:ilvl="2">
      <w:start w:val="1"/>
      <w:numFmt w:val="bullet"/>
      <w:lvlText w:val="▪"/>
      <w:lvlJc w:val="left"/>
      <w:pPr>
        <w:ind w:left="1134" w:hanging="360"/>
      </w:pPr>
      <w:rPr>
        <w:rFonts w:ascii="Noto Sans Symbols" w:eastAsia="Noto Sans Symbols" w:hAnsi="Noto Sans Symbols" w:cs="Noto Sans Symbols"/>
      </w:rPr>
    </w:lvl>
    <w:lvl w:ilvl="3">
      <w:start w:val="1"/>
      <w:numFmt w:val="bullet"/>
      <w:lvlText w:val="●"/>
      <w:lvlJc w:val="left"/>
      <w:pPr>
        <w:ind w:left="1854" w:hanging="360"/>
      </w:pPr>
      <w:rPr>
        <w:rFonts w:ascii="Noto Sans Symbols" w:eastAsia="Noto Sans Symbols" w:hAnsi="Noto Sans Symbols" w:cs="Noto Sans Symbols"/>
      </w:rPr>
    </w:lvl>
    <w:lvl w:ilvl="4">
      <w:start w:val="1"/>
      <w:numFmt w:val="bullet"/>
      <w:lvlText w:val="o"/>
      <w:lvlJc w:val="left"/>
      <w:pPr>
        <w:ind w:left="2574" w:hanging="360"/>
      </w:pPr>
      <w:rPr>
        <w:rFonts w:ascii="Courier New" w:eastAsia="Courier New" w:hAnsi="Courier New" w:cs="Courier New"/>
      </w:rPr>
    </w:lvl>
    <w:lvl w:ilvl="5">
      <w:start w:val="1"/>
      <w:numFmt w:val="bullet"/>
      <w:lvlText w:val="▪"/>
      <w:lvlJc w:val="left"/>
      <w:pPr>
        <w:ind w:left="3294" w:hanging="360"/>
      </w:pPr>
      <w:rPr>
        <w:rFonts w:ascii="Noto Sans Symbols" w:eastAsia="Noto Sans Symbols" w:hAnsi="Noto Sans Symbols" w:cs="Noto Sans Symbols"/>
      </w:rPr>
    </w:lvl>
    <w:lvl w:ilvl="6">
      <w:start w:val="1"/>
      <w:numFmt w:val="bullet"/>
      <w:lvlText w:val="●"/>
      <w:lvlJc w:val="left"/>
      <w:pPr>
        <w:ind w:left="4014" w:hanging="360"/>
      </w:pPr>
      <w:rPr>
        <w:rFonts w:ascii="Noto Sans Symbols" w:eastAsia="Noto Sans Symbols" w:hAnsi="Noto Sans Symbols" w:cs="Noto Sans Symbols"/>
      </w:rPr>
    </w:lvl>
    <w:lvl w:ilvl="7">
      <w:start w:val="1"/>
      <w:numFmt w:val="bullet"/>
      <w:lvlText w:val="o"/>
      <w:lvlJc w:val="left"/>
      <w:pPr>
        <w:ind w:left="4734" w:hanging="360"/>
      </w:pPr>
      <w:rPr>
        <w:rFonts w:ascii="Courier New" w:eastAsia="Courier New" w:hAnsi="Courier New" w:cs="Courier New"/>
      </w:rPr>
    </w:lvl>
    <w:lvl w:ilvl="8">
      <w:start w:val="1"/>
      <w:numFmt w:val="bullet"/>
      <w:lvlText w:val="▪"/>
      <w:lvlJc w:val="left"/>
      <w:pPr>
        <w:ind w:left="5454" w:hanging="360"/>
      </w:pPr>
      <w:rPr>
        <w:rFonts w:ascii="Noto Sans Symbols" w:eastAsia="Noto Sans Symbols" w:hAnsi="Noto Sans Symbols" w:cs="Noto Sans Symbols"/>
      </w:rPr>
    </w:lvl>
  </w:abstractNum>
  <w:abstractNum w:abstractNumId="6"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732B8"/>
    <w:multiLevelType w:val="multilevel"/>
    <w:tmpl w:val="E0966BF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74E6E"/>
    <w:multiLevelType w:val="multilevel"/>
    <w:tmpl w:val="0BC273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56C12"/>
    <w:multiLevelType w:val="multilevel"/>
    <w:tmpl w:val="77E2A7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CA0484D"/>
    <w:multiLevelType w:val="multilevel"/>
    <w:tmpl w:val="E5DEF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538303">
    <w:abstractNumId w:val="0"/>
  </w:num>
  <w:num w:numId="2" w16cid:durableId="510025924">
    <w:abstractNumId w:val="1"/>
  </w:num>
  <w:num w:numId="3" w16cid:durableId="876937985">
    <w:abstractNumId w:val="16"/>
  </w:num>
  <w:num w:numId="4" w16cid:durableId="576788329">
    <w:abstractNumId w:val="13"/>
  </w:num>
  <w:num w:numId="5" w16cid:durableId="1132089929">
    <w:abstractNumId w:val="4"/>
  </w:num>
  <w:num w:numId="6" w16cid:durableId="724254005">
    <w:abstractNumId w:val="3"/>
  </w:num>
  <w:num w:numId="7" w16cid:durableId="1868718589">
    <w:abstractNumId w:val="10"/>
  </w:num>
  <w:num w:numId="8" w16cid:durableId="1224873535">
    <w:abstractNumId w:val="12"/>
  </w:num>
  <w:num w:numId="9" w16cid:durableId="1283532695">
    <w:abstractNumId w:val="8"/>
  </w:num>
  <w:num w:numId="10" w16cid:durableId="1734546662">
    <w:abstractNumId w:val="6"/>
  </w:num>
  <w:num w:numId="11" w16cid:durableId="746071302">
    <w:abstractNumId w:val="9"/>
  </w:num>
  <w:num w:numId="12" w16cid:durableId="1909535655">
    <w:abstractNumId w:val="15"/>
  </w:num>
  <w:num w:numId="13" w16cid:durableId="1408191388">
    <w:abstractNumId w:val="5"/>
  </w:num>
  <w:num w:numId="14" w16cid:durableId="1028986981">
    <w:abstractNumId w:val="2"/>
  </w:num>
  <w:num w:numId="15" w16cid:durableId="1254783873">
    <w:abstractNumId w:val="14"/>
  </w:num>
  <w:num w:numId="16" w16cid:durableId="632906245">
    <w:abstractNumId w:val="11"/>
  </w:num>
  <w:num w:numId="17" w16cid:durableId="1910261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jav7d2Jd5wNkwUpNnaGs+sLxkmF6T5VjOy2Wz7gBhkmneHV/4gc53fHrFW7BdQ8BNvxsTJd6c2kL75ZY/cIoRw==" w:salt="9ITWKbxrj8nDSplUM3ShoA=="/>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17"/>
    <w:rsid w:val="0000587D"/>
    <w:rsid w:val="000117F8"/>
    <w:rsid w:val="000139F4"/>
    <w:rsid w:val="00016131"/>
    <w:rsid w:val="0001631B"/>
    <w:rsid w:val="00022AEF"/>
    <w:rsid w:val="00024D65"/>
    <w:rsid w:val="00026103"/>
    <w:rsid w:val="00034454"/>
    <w:rsid w:val="000359A6"/>
    <w:rsid w:val="00040958"/>
    <w:rsid w:val="00041010"/>
    <w:rsid w:val="00043545"/>
    <w:rsid w:val="00084133"/>
    <w:rsid w:val="00084FA1"/>
    <w:rsid w:val="000879C6"/>
    <w:rsid w:val="00094CC5"/>
    <w:rsid w:val="00095A3A"/>
    <w:rsid w:val="000A08B6"/>
    <w:rsid w:val="000B1BE8"/>
    <w:rsid w:val="000C1E92"/>
    <w:rsid w:val="000C5D74"/>
    <w:rsid w:val="000C6495"/>
    <w:rsid w:val="000D03AC"/>
    <w:rsid w:val="000E382A"/>
    <w:rsid w:val="000E6336"/>
    <w:rsid w:val="000F47E3"/>
    <w:rsid w:val="000F7B5F"/>
    <w:rsid w:val="001204ED"/>
    <w:rsid w:val="00127DF5"/>
    <w:rsid w:val="00130E09"/>
    <w:rsid w:val="00134330"/>
    <w:rsid w:val="00146326"/>
    <w:rsid w:val="00152448"/>
    <w:rsid w:val="001540A1"/>
    <w:rsid w:val="0016001C"/>
    <w:rsid w:val="00194916"/>
    <w:rsid w:val="00195716"/>
    <w:rsid w:val="0019629A"/>
    <w:rsid w:val="001A1706"/>
    <w:rsid w:val="001A27E3"/>
    <w:rsid w:val="001B3725"/>
    <w:rsid w:val="001C18F5"/>
    <w:rsid w:val="001D2E3F"/>
    <w:rsid w:val="001E2982"/>
    <w:rsid w:val="001E731C"/>
    <w:rsid w:val="00204790"/>
    <w:rsid w:val="00213DCE"/>
    <w:rsid w:val="00230CF8"/>
    <w:rsid w:val="00234785"/>
    <w:rsid w:val="00243A2C"/>
    <w:rsid w:val="002505C1"/>
    <w:rsid w:val="00257077"/>
    <w:rsid w:val="002616D9"/>
    <w:rsid w:val="00261E49"/>
    <w:rsid w:val="002771C2"/>
    <w:rsid w:val="00277D57"/>
    <w:rsid w:val="00292281"/>
    <w:rsid w:val="0029661D"/>
    <w:rsid w:val="002A6139"/>
    <w:rsid w:val="002F1C16"/>
    <w:rsid w:val="002F274D"/>
    <w:rsid w:val="00302526"/>
    <w:rsid w:val="00306225"/>
    <w:rsid w:val="00315AC3"/>
    <w:rsid w:val="00325660"/>
    <w:rsid w:val="0032799B"/>
    <w:rsid w:val="003459AD"/>
    <w:rsid w:val="0034711A"/>
    <w:rsid w:val="00355F0E"/>
    <w:rsid w:val="00355F4F"/>
    <w:rsid w:val="00375675"/>
    <w:rsid w:val="00391724"/>
    <w:rsid w:val="00395D7B"/>
    <w:rsid w:val="003A0636"/>
    <w:rsid w:val="003A46E4"/>
    <w:rsid w:val="003C5ACA"/>
    <w:rsid w:val="003D034A"/>
    <w:rsid w:val="003D09AB"/>
    <w:rsid w:val="003D42BB"/>
    <w:rsid w:val="003D569F"/>
    <w:rsid w:val="00412FD1"/>
    <w:rsid w:val="0041562E"/>
    <w:rsid w:val="00420EDF"/>
    <w:rsid w:val="0042134B"/>
    <w:rsid w:val="0042429D"/>
    <w:rsid w:val="00425534"/>
    <w:rsid w:val="004304AF"/>
    <w:rsid w:val="00433CF3"/>
    <w:rsid w:val="0044441A"/>
    <w:rsid w:val="00447D16"/>
    <w:rsid w:val="0045336E"/>
    <w:rsid w:val="004548A7"/>
    <w:rsid w:val="0046023F"/>
    <w:rsid w:val="004642E0"/>
    <w:rsid w:val="00464384"/>
    <w:rsid w:val="0047010F"/>
    <w:rsid w:val="00471F67"/>
    <w:rsid w:val="004766B5"/>
    <w:rsid w:val="00476E0C"/>
    <w:rsid w:val="00477FB0"/>
    <w:rsid w:val="004804F8"/>
    <w:rsid w:val="00490903"/>
    <w:rsid w:val="00495278"/>
    <w:rsid w:val="004A20ED"/>
    <w:rsid w:val="004A5C83"/>
    <w:rsid w:val="004A673F"/>
    <w:rsid w:val="004B038C"/>
    <w:rsid w:val="004C2157"/>
    <w:rsid w:val="004D66E8"/>
    <w:rsid w:val="004F16BF"/>
    <w:rsid w:val="00505223"/>
    <w:rsid w:val="005066D7"/>
    <w:rsid w:val="00507ACB"/>
    <w:rsid w:val="00514010"/>
    <w:rsid w:val="00520DAC"/>
    <w:rsid w:val="005366FE"/>
    <w:rsid w:val="005401C8"/>
    <w:rsid w:val="00542418"/>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5E67"/>
    <w:rsid w:val="00607595"/>
    <w:rsid w:val="00614CA9"/>
    <w:rsid w:val="0061570D"/>
    <w:rsid w:val="006215E7"/>
    <w:rsid w:val="00621685"/>
    <w:rsid w:val="00637605"/>
    <w:rsid w:val="00643BD2"/>
    <w:rsid w:val="00646424"/>
    <w:rsid w:val="00653A03"/>
    <w:rsid w:val="00655AD0"/>
    <w:rsid w:val="006579A8"/>
    <w:rsid w:val="00660141"/>
    <w:rsid w:val="006621A1"/>
    <w:rsid w:val="006637BE"/>
    <w:rsid w:val="00680846"/>
    <w:rsid w:val="00680EE7"/>
    <w:rsid w:val="00686BD4"/>
    <w:rsid w:val="00693313"/>
    <w:rsid w:val="00696F3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15F6"/>
    <w:rsid w:val="00742130"/>
    <w:rsid w:val="007475A7"/>
    <w:rsid w:val="00756DF9"/>
    <w:rsid w:val="00762A3B"/>
    <w:rsid w:val="0076783E"/>
    <w:rsid w:val="00770EBE"/>
    <w:rsid w:val="00774632"/>
    <w:rsid w:val="00777ECA"/>
    <w:rsid w:val="00782EF2"/>
    <w:rsid w:val="007A13D0"/>
    <w:rsid w:val="007B2E33"/>
    <w:rsid w:val="007B4C08"/>
    <w:rsid w:val="007B7371"/>
    <w:rsid w:val="007C6CB8"/>
    <w:rsid w:val="007C7CF7"/>
    <w:rsid w:val="007D154B"/>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6286"/>
    <w:rsid w:val="008A739E"/>
    <w:rsid w:val="008B6600"/>
    <w:rsid w:val="008C591B"/>
    <w:rsid w:val="008C67D4"/>
    <w:rsid w:val="008D1A9B"/>
    <w:rsid w:val="008E1EEC"/>
    <w:rsid w:val="008F15F8"/>
    <w:rsid w:val="008F4160"/>
    <w:rsid w:val="008F55DD"/>
    <w:rsid w:val="009002FC"/>
    <w:rsid w:val="00903943"/>
    <w:rsid w:val="00911E07"/>
    <w:rsid w:val="00913C54"/>
    <w:rsid w:val="00925323"/>
    <w:rsid w:val="00935275"/>
    <w:rsid w:val="00936152"/>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F2BE7"/>
    <w:rsid w:val="009F7127"/>
    <w:rsid w:val="00A035F6"/>
    <w:rsid w:val="00A0372C"/>
    <w:rsid w:val="00A047B2"/>
    <w:rsid w:val="00A11930"/>
    <w:rsid w:val="00A143AC"/>
    <w:rsid w:val="00A23804"/>
    <w:rsid w:val="00A264F3"/>
    <w:rsid w:val="00A30AD5"/>
    <w:rsid w:val="00A3692D"/>
    <w:rsid w:val="00A46783"/>
    <w:rsid w:val="00A539D5"/>
    <w:rsid w:val="00A55EE6"/>
    <w:rsid w:val="00A63ECC"/>
    <w:rsid w:val="00A76F89"/>
    <w:rsid w:val="00A8678C"/>
    <w:rsid w:val="00A966C4"/>
    <w:rsid w:val="00AA2D0D"/>
    <w:rsid w:val="00AB333B"/>
    <w:rsid w:val="00AB4D0D"/>
    <w:rsid w:val="00AB7091"/>
    <w:rsid w:val="00AB71D1"/>
    <w:rsid w:val="00AD7D70"/>
    <w:rsid w:val="00AE650E"/>
    <w:rsid w:val="00AF0830"/>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A0326"/>
    <w:rsid w:val="00BA4DD0"/>
    <w:rsid w:val="00BA5530"/>
    <w:rsid w:val="00BD35E3"/>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B76B5"/>
    <w:rsid w:val="00CC28FE"/>
    <w:rsid w:val="00CC4E3A"/>
    <w:rsid w:val="00CC69FD"/>
    <w:rsid w:val="00CE0A2C"/>
    <w:rsid w:val="00CE1834"/>
    <w:rsid w:val="00CE5EF6"/>
    <w:rsid w:val="00CF77C2"/>
    <w:rsid w:val="00D02A3E"/>
    <w:rsid w:val="00D034D4"/>
    <w:rsid w:val="00D13E8D"/>
    <w:rsid w:val="00D204E5"/>
    <w:rsid w:val="00D34C6F"/>
    <w:rsid w:val="00D35846"/>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E03321"/>
    <w:rsid w:val="00E05F49"/>
    <w:rsid w:val="00E0639C"/>
    <w:rsid w:val="00E277EC"/>
    <w:rsid w:val="00E30234"/>
    <w:rsid w:val="00E37A31"/>
    <w:rsid w:val="00E41C8A"/>
    <w:rsid w:val="00E42B12"/>
    <w:rsid w:val="00E470A7"/>
    <w:rsid w:val="00E477D8"/>
    <w:rsid w:val="00E66072"/>
    <w:rsid w:val="00E66132"/>
    <w:rsid w:val="00E71388"/>
    <w:rsid w:val="00E73260"/>
    <w:rsid w:val="00E73914"/>
    <w:rsid w:val="00E93E42"/>
    <w:rsid w:val="00E93ED0"/>
    <w:rsid w:val="00E945B0"/>
    <w:rsid w:val="00E9507D"/>
    <w:rsid w:val="00E96856"/>
    <w:rsid w:val="00EC3AC3"/>
    <w:rsid w:val="00EC4CD7"/>
    <w:rsid w:val="00EE0FDD"/>
    <w:rsid w:val="00EE54A6"/>
    <w:rsid w:val="00EF20FD"/>
    <w:rsid w:val="00F05A45"/>
    <w:rsid w:val="00F13AC9"/>
    <w:rsid w:val="00F26CE6"/>
    <w:rsid w:val="00F274E1"/>
    <w:rsid w:val="00F32ADD"/>
    <w:rsid w:val="00F41925"/>
    <w:rsid w:val="00F45CC6"/>
    <w:rsid w:val="00F464BD"/>
    <w:rsid w:val="00F55097"/>
    <w:rsid w:val="00F5751D"/>
    <w:rsid w:val="00F57CE7"/>
    <w:rsid w:val="00F613E0"/>
    <w:rsid w:val="00F65AAA"/>
    <w:rsid w:val="00F9688D"/>
    <w:rsid w:val="00F97FE2"/>
    <w:rsid w:val="00FA0A23"/>
    <w:rsid w:val="00FA3A77"/>
    <w:rsid w:val="00FA4600"/>
    <w:rsid w:val="00FB2DB0"/>
    <w:rsid w:val="00FB4561"/>
    <w:rsid w:val="00FB4936"/>
    <w:rsid w:val="00FB6A60"/>
    <w:rsid w:val="00FC0117"/>
    <w:rsid w:val="00FC276F"/>
    <w:rsid w:val="00FD167D"/>
    <w:rsid w:val="00FD6A0A"/>
    <w:rsid w:val="00FE19B0"/>
    <w:rsid w:val="00FF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F8D19"/>
  <w15:docId w15:val="{09A25F29-E2DB-B045-B2B8-D35F831A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paragraph" w:styleId="Caption">
    <w:name w:val="caption"/>
    <w:basedOn w:val="Normal"/>
    <w:next w:val="Normal"/>
    <w:uiPriority w:val="35"/>
    <w:unhideWhenUsed/>
    <w:qFormat/>
    <w:rsid w:val="00FF3D17"/>
    <w:pPr>
      <w:spacing w:after="200"/>
    </w:pPr>
    <w:rPr>
      <w:rFonts w:ascii="Calibri" w:eastAsia="Calibri" w:hAnsi="Calibri" w:cs="Calibri"/>
      <w:i/>
      <w:iCs/>
      <w:color w:val="44546A" w:themeColor="text2"/>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ceo.umn.edu/docs/OnlinePubs/NCEOBrief20.pdf" TargetMode="External"/><Relationship Id="rId18" Type="http://schemas.openxmlformats.org/officeDocument/2006/relationships/hyperlink" Target="https://www.pbis.org/resource/supporting-students-with-disabilities-at-school-and-home-a-guide-for-teachers-to-support-families-and-student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marylandpublicschools.org/Programs/Pages/Special-Education/index.aspx" TargetMode="External"/><Relationship Id="rId7" Type="http://schemas.openxmlformats.org/officeDocument/2006/relationships/endnotes" Target="endnotes.xml"/><Relationship Id="rId12" Type="http://schemas.openxmlformats.org/officeDocument/2006/relationships/hyperlink" Target="https://publications.ici.umn.edu/ties/communicative-competence-tips/connecting-core-words-aided-language-modeling-and-literacy" TargetMode="External"/><Relationship Id="rId17" Type="http://schemas.openxmlformats.org/officeDocument/2006/relationships/hyperlink" Target="https://assets-global.website-files.com/5d3725188825e071f1670246/5e7e5a79378fc458723ddf4f_Creating%20a%20PBIS%20Behavior%20Teaching%20Matrix%20for%20Remote%20Instruction.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blications.dev.ici.umn.edu/ties/building-engagement-with-distance-learning/5c-process/learning-matrix" TargetMode="External"/><Relationship Id="rId20" Type="http://schemas.openxmlformats.org/officeDocument/2006/relationships/hyperlink" Target="https://highleveragepractices.org/instruction/"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escenter.org/resource/ties-distance-learning-17-planning-for-instruction-both-at-school-and-distance-learning-the-5c-proces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ynamiclearningmaps.org/sites/default/files/documents/StateBonusItems/IE_Assessments_Flyer_YE_Version.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wested.org/covid-19-resource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csso.org/sites/default/files/2017-12/Formative_Assessment_for_Students_with_Disabilities.pdf" TargetMode="External"/><Relationship Id="rId22" Type="http://schemas.openxmlformats.org/officeDocument/2006/relationships/hyperlink" Target="https://marylandlearninglinks.org/"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B21E13-3220-2443-9AA0-48EA036562CF}">
  <ds:schemaRefs>
    <ds:schemaRef ds:uri="http://schemas.openxmlformats.org/officeDocument/2006/bibliography"/>
  </ds:schemaRefs>
</ds:datastoreItem>
</file>

<file path=customXml/itemProps2.xml><?xml version="1.0" encoding="utf-8"?>
<ds:datastoreItem xmlns:ds="http://schemas.openxmlformats.org/officeDocument/2006/customXml" ds:itemID="{C8D426C5-2192-4ECF-A6C5-4A748016777D}"/>
</file>

<file path=customXml/itemProps3.xml><?xml version="1.0" encoding="utf-8"?>
<ds:datastoreItem xmlns:ds="http://schemas.openxmlformats.org/officeDocument/2006/customXml" ds:itemID="{71B524E8-78A3-47C7-82C4-0DD6E978AE27}"/>
</file>

<file path=customXml/itemProps4.xml><?xml version="1.0" encoding="utf-8"?>
<ds:datastoreItem xmlns:ds="http://schemas.openxmlformats.org/officeDocument/2006/customXml" ds:itemID="{0B0F4E8C-3FDD-49CC-8CF5-F1AC1BDEA78A}"/>
</file>

<file path=docProps/app.xml><?xml version="1.0" encoding="utf-8"?>
<Properties xmlns="http://schemas.openxmlformats.org/officeDocument/2006/extended-properties" xmlns:vt="http://schemas.openxmlformats.org/officeDocument/2006/docPropsVTypes">
  <Template>DEISES_TIPsDocuments.dotx</Template>
  <TotalTime>1</TotalTime>
  <Pages>6</Pages>
  <Words>1930</Words>
  <Characters>11007</Characters>
  <Application>Microsoft Office Word</Application>
  <DocSecurity>12</DocSecurity>
  <Lines>91</Lines>
  <Paragraphs>25</Paragraphs>
  <ScaleCrop>false</ScaleCrop>
  <HeadingPairs>
    <vt:vector size="2" baseType="variant">
      <vt:variant>
        <vt:lpstr>Title</vt:lpstr>
      </vt:variant>
      <vt:variant>
        <vt:i4>1</vt:i4>
      </vt:variant>
    </vt:vector>
  </HeadingPairs>
  <TitlesOfParts>
    <vt:vector size="1" baseType="lpstr">
      <vt:lpstr>TIPs for Supporting Students Who Require Extensive, Intensive, Individualized Instruction and Supports through Alternative Service Delivery Models</vt:lpstr>
    </vt:vector>
  </TitlesOfParts>
  <Manager>Marcella Franczkowski</Manager>
  <Company>MSDE</Company>
  <LinksUpToDate>false</LinksUpToDate>
  <CharactersWithSpaces>12912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Supporting Students Who Require Extensive, Intensive, Individualized Instruction and Supports through Alternative Service Delivery Models</dc:title>
  <dc:subject>TIPs for Supporting Students Who Require Extensive, Intensive, Individualized Instruction and Supports through Alternative Service Delivery Models Implementation Best Practices and Considerations</dc:subject>
  <dc:creator>Brian Morrison</dc:creator>
  <cp:keywords>TIPs for Supporting Students Who Require Extensive, Intensive, Individualized Instruction and Supports through Alternative Service Delivery Models</cp:keywords>
  <dc:description/>
  <cp:lastModifiedBy>Brian Morrison</cp:lastModifiedBy>
  <cp:revision>2</cp:revision>
  <cp:lastPrinted>2019-08-05T12:44:00Z</cp:lastPrinted>
  <dcterms:created xsi:type="dcterms:W3CDTF">2022-08-22T15:00:00Z</dcterms:created>
  <dcterms:modified xsi:type="dcterms:W3CDTF">2022-08-22T15:00:00Z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