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CFF" w14:textId="25C52ED6" w:rsidR="000F47E3" w:rsidRPr="007D154B" w:rsidRDefault="00D366A0" w:rsidP="007D154B">
      <w:pPr>
        <w:ind w:right="36"/>
        <w:rPr>
          <w:rFonts w:ascii="Cambria" w:eastAsia="Times" w:hAnsi="Cambria"/>
          <w:sz w:val="22"/>
          <w:szCs w:val="22"/>
        </w:rPr>
      </w:pPr>
      <w:r>
        <w:rPr>
          <w:noProof/>
        </w:rPr>
        <w:drawing>
          <wp:inline distT="0" distB="0" distL="0" distR="0" wp14:anchorId="0A997B48" wp14:editId="18A29B97">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67B6A0BF" w14:textId="4B92192C" w:rsidR="00660141" w:rsidRDefault="00236D2B" w:rsidP="00236D2B">
      <w:pPr>
        <w:tabs>
          <w:tab w:val="left" w:pos="1560"/>
        </w:tabs>
        <w:jc w:val="center"/>
        <w:rPr>
          <w:rFonts w:ascii="Cambria" w:hAnsi="Cambria"/>
          <w:b/>
          <w:color w:val="4472C4" w:themeColor="accent1"/>
          <w:sz w:val="32"/>
          <w:szCs w:val="32"/>
        </w:rPr>
      </w:pPr>
      <w:r w:rsidRPr="00660141">
        <w:rPr>
          <w:noProof/>
        </w:rPr>
        <w:drawing>
          <wp:inline distT="0" distB="0" distL="0" distR="0" wp14:anchorId="3EDC833A" wp14:editId="7F445847">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269806BE" w14:textId="77777777" w:rsidR="00D366A0" w:rsidRDefault="00D366A0" w:rsidP="00236D2B">
      <w:pPr>
        <w:tabs>
          <w:tab w:val="left" w:pos="1560"/>
        </w:tabs>
        <w:jc w:val="center"/>
        <w:rPr>
          <w:rFonts w:ascii="Calibri" w:hAnsi="Calibri" w:cs="Calibri"/>
          <w:b/>
          <w:color w:val="000000" w:themeColor="text1"/>
        </w:rPr>
      </w:pPr>
    </w:p>
    <w:p w14:paraId="64419E9E" w14:textId="5E2AAF68" w:rsidR="0041562E" w:rsidRPr="00CB2683" w:rsidRDefault="0041562E" w:rsidP="00236D2B">
      <w:pPr>
        <w:tabs>
          <w:tab w:val="left" w:pos="1560"/>
        </w:tabs>
        <w:jc w:val="center"/>
        <w:rPr>
          <w:rFonts w:asciiTheme="minorHAnsi" w:hAnsiTheme="minorHAnsi" w:cstheme="minorHAnsi"/>
          <w:b/>
          <w:color w:val="000000" w:themeColor="text1"/>
          <w:sz w:val="28"/>
          <w:szCs w:val="28"/>
        </w:rPr>
      </w:pPr>
      <w:r w:rsidRPr="00CB2683">
        <w:rPr>
          <w:rFonts w:asciiTheme="minorHAnsi" w:hAnsiTheme="minorHAnsi" w:cstheme="minorHAnsi"/>
          <w:b/>
          <w:color w:val="000000" w:themeColor="text1"/>
          <w:sz w:val="28"/>
          <w:szCs w:val="28"/>
        </w:rPr>
        <w:t>MARYLAND STATE DEPARTMENT OF EDUCATION</w:t>
      </w:r>
    </w:p>
    <w:p w14:paraId="446F0E6E" w14:textId="77777777" w:rsidR="0041562E" w:rsidRPr="00CB2683" w:rsidRDefault="0041562E" w:rsidP="00236D2B">
      <w:pPr>
        <w:tabs>
          <w:tab w:val="left" w:pos="1560"/>
        </w:tabs>
        <w:jc w:val="center"/>
        <w:rPr>
          <w:rFonts w:asciiTheme="minorHAnsi" w:hAnsiTheme="minorHAnsi" w:cstheme="minorHAnsi"/>
          <w:b/>
          <w:color w:val="000000" w:themeColor="text1"/>
          <w:sz w:val="28"/>
          <w:szCs w:val="28"/>
        </w:rPr>
      </w:pPr>
      <w:r w:rsidRPr="00CB2683">
        <w:rPr>
          <w:rFonts w:asciiTheme="minorHAnsi" w:hAnsiTheme="minorHAnsi" w:cstheme="minorHAnsi"/>
          <w:b/>
          <w:color w:val="000000" w:themeColor="text1"/>
          <w:sz w:val="28"/>
          <w:szCs w:val="28"/>
        </w:rPr>
        <w:t>Division of Early Intervention and Special Education Services</w:t>
      </w:r>
    </w:p>
    <w:p w14:paraId="7389758A" w14:textId="77777777" w:rsidR="00544EC7" w:rsidRPr="00CB2683" w:rsidRDefault="00544EC7" w:rsidP="00236D2B">
      <w:pPr>
        <w:tabs>
          <w:tab w:val="left" w:pos="1560"/>
        </w:tabs>
        <w:jc w:val="center"/>
        <w:rPr>
          <w:rFonts w:asciiTheme="minorHAnsi" w:hAnsiTheme="minorHAnsi" w:cstheme="minorHAnsi"/>
          <w:b/>
          <w:color w:val="048B3E"/>
          <w:sz w:val="28"/>
          <w:szCs w:val="28"/>
        </w:rPr>
      </w:pPr>
      <w:r w:rsidRPr="00CB2683">
        <w:rPr>
          <w:rFonts w:asciiTheme="minorHAnsi" w:hAnsiTheme="minorHAnsi" w:cstheme="minorHAnsi"/>
          <w:b/>
          <w:color w:val="048B3E"/>
          <w:sz w:val="28"/>
          <w:szCs w:val="28"/>
        </w:rPr>
        <w:t>IMPLEMENTATION BEST PRACTICES &amp; CONSIDERATIONS</w:t>
      </w:r>
    </w:p>
    <w:p w14:paraId="7B6F1854" w14:textId="77777777" w:rsidR="00544EC7" w:rsidRPr="00CB2683" w:rsidRDefault="00544EC7" w:rsidP="00236D2B">
      <w:pPr>
        <w:tabs>
          <w:tab w:val="left" w:pos="1560"/>
        </w:tabs>
        <w:jc w:val="center"/>
        <w:rPr>
          <w:rFonts w:asciiTheme="minorHAnsi" w:hAnsiTheme="minorHAnsi" w:cstheme="minorHAnsi"/>
          <w:i/>
          <w:color w:val="000000" w:themeColor="text1"/>
          <w:sz w:val="22"/>
          <w:szCs w:val="22"/>
        </w:rPr>
      </w:pPr>
      <w:r w:rsidRPr="00CB2683">
        <w:rPr>
          <w:rFonts w:asciiTheme="minorHAnsi" w:hAnsiTheme="minorHAnsi" w:cstheme="minorHAnsi"/>
          <w:i/>
          <w:color w:val="000000" w:themeColor="text1"/>
          <w:sz w:val="22"/>
          <w:szCs w:val="22"/>
        </w:rPr>
        <w:t>Marcella E. Franczkowski, M.S., Assistant State Superintendent</w:t>
      </w:r>
    </w:p>
    <w:p w14:paraId="70054F9D" w14:textId="77777777" w:rsidR="00A73D23" w:rsidRPr="00CB2683" w:rsidRDefault="00A73D23" w:rsidP="00544EC7">
      <w:pPr>
        <w:tabs>
          <w:tab w:val="left" w:pos="1560"/>
        </w:tabs>
        <w:spacing w:after="120"/>
        <w:jc w:val="center"/>
        <w:rPr>
          <w:rFonts w:asciiTheme="minorHAnsi" w:hAnsiTheme="minorHAnsi" w:cstheme="minorHAnsi"/>
          <w:i/>
          <w:color w:val="000000" w:themeColor="text1"/>
          <w:sz w:val="22"/>
          <w:szCs w:val="22"/>
        </w:rPr>
      </w:pPr>
    </w:p>
    <w:p w14:paraId="16CC390B" w14:textId="523AA2BB" w:rsidR="00A73D23" w:rsidRDefault="00A73D23" w:rsidP="00236D2B">
      <w:pPr>
        <w:tabs>
          <w:tab w:val="left" w:pos="1560"/>
        </w:tabs>
        <w:rPr>
          <w:rFonts w:asciiTheme="minorHAnsi" w:hAnsiTheme="minorHAnsi" w:cstheme="minorHAnsi"/>
          <w:b/>
          <w:color w:val="000000" w:themeColor="text1"/>
        </w:rPr>
      </w:pPr>
      <w:r w:rsidRPr="00236D2B">
        <w:rPr>
          <w:rFonts w:asciiTheme="minorHAnsi" w:hAnsiTheme="minorHAnsi" w:cstheme="minorHAnsi"/>
          <w:b/>
          <w:bCs/>
          <w:color w:val="000000" w:themeColor="text1"/>
        </w:rPr>
        <w:t>DATE ISSUED:</w:t>
      </w:r>
      <w:r w:rsidRPr="00236D2B">
        <w:rPr>
          <w:rFonts w:asciiTheme="minorHAnsi" w:hAnsiTheme="minorHAnsi" w:cstheme="minorHAnsi"/>
          <w:b/>
          <w:color w:val="000000" w:themeColor="text1"/>
        </w:rPr>
        <w:t xml:space="preserve"> </w:t>
      </w:r>
      <w:r w:rsidR="003A4FE5" w:rsidRPr="00CB2683">
        <w:rPr>
          <w:rFonts w:asciiTheme="minorHAnsi" w:hAnsiTheme="minorHAnsi" w:cstheme="minorHAnsi"/>
          <w:b/>
          <w:color w:val="000000" w:themeColor="text1"/>
        </w:rPr>
        <w:t>May</w:t>
      </w:r>
      <w:r w:rsidRPr="00CB2683">
        <w:rPr>
          <w:rFonts w:asciiTheme="minorHAnsi" w:hAnsiTheme="minorHAnsi" w:cstheme="minorHAnsi"/>
          <w:b/>
          <w:color w:val="000000" w:themeColor="text1"/>
        </w:rPr>
        <w:t xml:space="preserve"> 2021</w:t>
      </w:r>
      <w:r w:rsidR="00CB2683">
        <w:rPr>
          <w:rFonts w:asciiTheme="minorHAnsi" w:hAnsiTheme="minorHAnsi" w:cstheme="minorHAnsi"/>
          <w:b/>
          <w:color w:val="000000" w:themeColor="text1"/>
        </w:rPr>
        <w:t>, Revised August 2022</w:t>
      </w:r>
    </w:p>
    <w:p w14:paraId="2E81B9ED" w14:textId="77777777" w:rsidR="00236D2B" w:rsidRPr="00CB2683" w:rsidRDefault="00236D2B" w:rsidP="00236D2B">
      <w:pPr>
        <w:tabs>
          <w:tab w:val="left" w:pos="1560"/>
        </w:tabs>
        <w:rPr>
          <w:rFonts w:asciiTheme="minorHAnsi" w:hAnsiTheme="minorHAnsi" w:cstheme="minorHAnsi"/>
          <w:i/>
          <w:color w:val="000000" w:themeColor="text1"/>
          <w:sz w:val="22"/>
          <w:szCs w:val="22"/>
        </w:rPr>
      </w:pPr>
    </w:p>
    <w:p w14:paraId="33B509FA" w14:textId="0EFB8F1B" w:rsidR="00801064" w:rsidRPr="00CB2683" w:rsidRDefault="00544EC7" w:rsidP="00236D2B">
      <w:pPr>
        <w:tabs>
          <w:tab w:val="left" w:pos="1560"/>
        </w:tabs>
        <w:jc w:val="center"/>
        <w:rPr>
          <w:rFonts w:asciiTheme="minorHAnsi" w:hAnsiTheme="minorHAnsi" w:cstheme="minorHAnsi"/>
          <w:b/>
          <w:color w:val="048B3E"/>
          <w:sz w:val="32"/>
          <w:szCs w:val="32"/>
        </w:rPr>
      </w:pPr>
      <w:r w:rsidRPr="00CB2683">
        <w:rPr>
          <w:rFonts w:asciiTheme="minorHAnsi" w:hAnsiTheme="minorHAnsi" w:cstheme="minorHAnsi"/>
          <w:b/>
          <w:color w:val="048B3E"/>
          <w:sz w:val="32"/>
          <w:szCs w:val="32"/>
        </w:rPr>
        <w:t xml:space="preserve">TIPs </w:t>
      </w:r>
      <w:r w:rsidR="00801064" w:rsidRPr="00CB2683">
        <w:rPr>
          <w:rFonts w:asciiTheme="minorHAnsi" w:hAnsiTheme="minorHAnsi" w:cstheme="minorHAnsi"/>
          <w:b/>
          <w:noProof/>
          <w:color w:val="048B3E"/>
          <w:sz w:val="32"/>
          <w:szCs w:val="32"/>
        </w:rPr>
        <mc:AlternateContent>
          <mc:Choice Requires="wps">
            <w:drawing>
              <wp:anchor distT="0" distB="0" distL="114300" distR="114300" simplePos="0" relativeHeight="251661312" behindDoc="0" locked="0" layoutInCell="1" allowOverlap="1" wp14:anchorId="311DF8A3" wp14:editId="65D857EF">
                <wp:simplePos x="0" y="0"/>
                <wp:positionH relativeFrom="column">
                  <wp:posOffset>0</wp:posOffset>
                </wp:positionH>
                <wp:positionV relativeFrom="paragraph">
                  <wp:posOffset>0</wp:posOffset>
                </wp:positionV>
                <wp:extent cx="635000" cy="635000"/>
                <wp:effectExtent l="0" t="0" r="0" b="0"/>
                <wp:wrapNone/>
                <wp:docPr id="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C92209"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" filled="f" stroked="f"/>
            </w:pict>
          </mc:Fallback>
        </mc:AlternateContent>
      </w:r>
      <w:bookmarkStart w:id="0" w:name="_heading=h.gjdgxs" w:colFirst="0" w:colLast="0"/>
      <w:bookmarkEnd w:id="0"/>
      <w:r w:rsidR="00801064" w:rsidRPr="00CB2683">
        <w:rPr>
          <w:rFonts w:asciiTheme="minorHAnsi" w:hAnsiTheme="minorHAnsi" w:cstheme="minorHAnsi"/>
          <w:b/>
          <w:color w:val="048B3E"/>
          <w:sz w:val="32"/>
          <w:szCs w:val="32"/>
        </w:rPr>
        <w:t xml:space="preserve">for </w:t>
      </w:r>
      <w:r w:rsidR="003A4FE5" w:rsidRPr="00CB2683">
        <w:rPr>
          <w:rFonts w:asciiTheme="minorHAnsi" w:hAnsiTheme="minorHAnsi" w:cstheme="minorHAnsi"/>
          <w:b/>
          <w:color w:val="048B3E"/>
          <w:sz w:val="32"/>
          <w:szCs w:val="32"/>
        </w:rPr>
        <w:t>Assistive Technology Across Service Delivery Models:</w:t>
      </w:r>
    </w:p>
    <w:p w14:paraId="716920FD" w14:textId="41C67258" w:rsidR="003A4FE5" w:rsidRPr="00CB2683" w:rsidRDefault="003A4FE5" w:rsidP="00236D2B">
      <w:pPr>
        <w:tabs>
          <w:tab w:val="left" w:pos="1560"/>
        </w:tabs>
        <w:jc w:val="center"/>
        <w:rPr>
          <w:rFonts w:asciiTheme="minorHAnsi" w:hAnsiTheme="minorHAnsi" w:cstheme="minorHAnsi"/>
          <w:b/>
          <w:color w:val="048B3E"/>
          <w:sz w:val="32"/>
          <w:szCs w:val="32"/>
        </w:rPr>
      </w:pPr>
      <w:r w:rsidRPr="00CB2683">
        <w:rPr>
          <w:rFonts w:asciiTheme="minorHAnsi" w:hAnsiTheme="minorHAnsi" w:cstheme="minorHAnsi"/>
          <w:b/>
          <w:color w:val="048B3E"/>
          <w:sz w:val="32"/>
          <w:szCs w:val="32"/>
        </w:rPr>
        <w:t>A Resource for Educators and Families</w:t>
      </w:r>
    </w:p>
    <w:p w14:paraId="47072F75" w14:textId="77777777" w:rsidR="003A4FE5" w:rsidRPr="00CB2683" w:rsidRDefault="003A4FE5" w:rsidP="00236D2B">
      <w:pPr>
        <w:tabs>
          <w:tab w:val="left" w:pos="1560"/>
        </w:tabs>
        <w:jc w:val="center"/>
        <w:rPr>
          <w:rFonts w:asciiTheme="minorHAnsi" w:hAnsiTheme="minorHAnsi" w:cstheme="minorHAnsi"/>
          <w:b/>
          <w:color w:val="048B3E"/>
          <w:sz w:val="32"/>
          <w:szCs w:val="32"/>
        </w:rPr>
      </w:pPr>
    </w:p>
    <w:p w14:paraId="434C9163" w14:textId="2A2A913D" w:rsidR="008F71DC" w:rsidRPr="00CB2683" w:rsidRDefault="008F71DC" w:rsidP="00236D2B">
      <w:pPr>
        <w:rPr>
          <w:rFonts w:asciiTheme="minorHAnsi" w:hAnsiTheme="minorHAnsi" w:cstheme="minorHAnsi"/>
          <w:sz w:val="21"/>
          <w:szCs w:val="21"/>
        </w:rPr>
      </w:pPr>
      <w:r w:rsidRPr="00CB2683">
        <w:rPr>
          <w:rFonts w:asciiTheme="minorHAnsi" w:hAnsiTheme="minorHAnsi" w:cstheme="minorHAnsi"/>
          <w:sz w:val="21"/>
          <w:szCs w:val="21"/>
        </w:rPr>
        <w:t xml:space="preserve">Assistive technology (AT) can change the life of a child or student with a disability by increasing independence and improving access to the school, home, community, and post-school environments.  AT implementation should remain consistent as local </w:t>
      </w:r>
      <w:r w:rsidR="00FA48B1">
        <w:rPr>
          <w:rFonts w:asciiTheme="minorHAnsi" w:hAnsiTheme="minorHAnsi" w:cstheme="minorHAnsi"/>
          <w:sz w:val="21"/>
          <w:szCs w:val="21"/>
        </w:rPr>
        <w:t>education agencies</w:t>
      </w:r>
      <w:r w:rsidRPr="00CB2683">
        <w:rPr>
          <w:rFonts w:asciiTheme="minorHAnsi" w:hAnsiTheme="minorHAnsi" w:cstheme="minorHAnsi"/>
          <w:sz w:val="21"/>
          <w:szCs w:val="21"/>
        </w:rPr>
        <w:t xml:space="preserve"> transition between service delivery models, including virtual and in-person instruc</w:t>
      </w:r>
      <w:r w:rsidR="003A4FE5" w:rsidRPr="00CB2683">
        <w:rPr>
          <w:rFonts w:asciiTheme="minorHAnsi" w:hAnsiTheme="minorHAnsi" w:cstheme="minorHAnsi"/>
          <w:sz w:val="21"/>
          <w:szCs w:val="21"/>
        </w:rPr>
        <w:t>tion</w:t>
      </w:r>
      <w:r w:rsidRPr="00CB2683">
        <w:rPr>
          <w:rFonts w:asciiTheme="minorHAnsi" w:hAnsiTheme="minorHAnsi" w:cstheme="minorHAnsi"/>
          <w:sz w:val="21"/>
          <w:szCs w:val="21"/>
        </w:rPr>
        <w:t>. Collaboration between educators and families is crucial to support students with AT use in all settings.  Below are tips to support AT implementation, regardless of age, during remote and hybrid instruction.</w:t>
      </w:r>
    </w:p>
    <w:p w14:paraId="6B726D70" w14:textId="77777777" w:rsidR="008F71DC" w:rsidRPr="00CB2683" w:rsidRDefault="008F71DC" w:rsidP="00236D2B">
      <w:pPr>
        <w:rPr>
          <w:rFonts w:asciiTheme="minorHAnsi" w:hAnsiTheme="minorHAnsi" w:cstheme="minorHAnsi"/>
          <w:sz w:val="21"/>
          <w:szCs w:val="21"/>
        </w:rPr>
      </w:pP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850"/>
        <w:gridCol w:w="5310"/>
      </w:tblGrid>
      <w:tr w:rsidR="003A4FE5" w:rsidRPr="00CB2683" w14:paraId="6C43B8CB" w14:textId="77777777" w:rsidTr="003A4FE5">
        <w:trPr>
          <w:trHeight w:val="420"/>
          <w:tblHeader/>
        </w:trPr>
        <w:tc>
          <w:tcPr>
            <w:tcW w:w="4850" w:type="dxa"/>
            <w:shd w:val="clear" w:color="auto" w:fill="auto"/>
            <w:tcMar>
              <w:top w:w="100" w:type="dxa"/>
              <w:left w:w="100" w:type="dxa"/>
              <w:bottom w:w="100" w:type="dxa"/>
              <w:right w:w="100" w:type="dxa"/>
            </w:tcMar>
          </w:tcPr>
          <w:p w14:paraId="1FDD3FCD" w14:textId="77777777" w:rsidR="008F71DC" w:rsidRPr="00CB2683" w:rsidRDefault="008F71DC" w:rsidP="00236D2B">
            <w:pPr>
              <w:widowControl w:val="0"/>
              <w:pBdr>
                <w:top w:val="nil"/>
                <w:left w:val="nil"/>
                <w:bottom w:val="nil"/>
                <w:right w:val="nil"/>
                <w:between w:val="nil"/>
              </w:pBdr>
              <w:jc w:val="center"/>
              <w:rPr>
                <w:rFonts w:asciiTheme="minorHAnsi" w:hAnsiTheme="minorHAnsi" w:cstheme="minorHAnsi"/>
                <w:b/>
                <w:sz w:val="21"/>
                <w:szCs w:val="21"/>
              </w:rPr>
            </w:pPr>
            <w:r w:rsidRPr="00CB2683">
              <w:rPr>
                <w:rFonts w:asciiTheme="minorHAnsi" w:hAnsiTheme="minorHAnsi" w:cstheme="minorHAnsi"/>
                <w:b/>
                <w:sz w:val="21"/>
                <w:szCs w:val="21"/>
              </w:rPr>
              <w:t>Tips</w:t>
            </w:r>
          </w:p>
        </w:tc>
        <w:tc>
          <w:tcPr>
            <w:tcW w:w="5310" w:type="dxa"/>
            <w:shd w:val="clear" w:color="auto" w:fill="auto"/>
            <w:tcMar>
              <w:top w:w="100" w:type="dxa"/>
              <w:left w:w="100" w:type="dxa"/>
              <w:bottom w:w="100" w:type="dxa"/>
              <w:right w:w="100" w:type="dxa"/>
            </w:tcMar>
          </w:tcPr>
          <w:p w14:paraId="05E55459" w14:textId="77777777" w:rsidR="008F71DC" w:rsidRPr="00CB2683" w:rsidRDefault="008F71DC" w:rsidP="00236D2B">
            <w:pPr>
              <w:widowControl w:val="0"/>
              <w:pBdr>
                <w:top w:val="nil"/>
                <w:left w:val="nil"/>
                <w:bottom w:val="nil"/>
                <w:right w:val="nil"/>
                <w:between w:val="nil"/>
              </w:pBdr>
              <w:jc w:val="center"/>
              <w:rPr>
                <w:rFonts w:asciiTheme="minorHAnsi" w:hAnsiTheme="minorHAnsi" w:cstheme="minorHAnsi"/>
                <w:b/>
                <w:sz w:val="21"/>
                <w:szCs w:val="21"/>
              </w:rPr>
            </w:pPr>
            <w:r w:rsidRPr="00CB2683">
              <w:rPr>
                <w:rFonts w:asciiTheme="minorHAnsi" w:hAnsiTheme="minorHAnsi" w:cstheme="minorHAnsi"/>
                <w:b/>
                <w:sz w:val="21"/>
                <w:szCs w:val="21"/>
              </w:rPr>
              <w:t>Additional Resources</w:t>
            </w:r>
          </w:p>
          <w:p w14:paraId="49E188A3" w14:textId="77777777" w:rsidR="008F71DC" w:rsidRPr="00CB2683" w:rsidRDefault="008F71DC" w:rsidP="00236D2B">
            <w:pPr>
              <w:widowControl w:val="0"/>
              <w:pBdr>
                <w:top w:val="nil"/>
                <w:left w:val="nil"/>
                <w:bottom w:val="nil"/>
                <w:right w:val="nil"/>
                <w:between w:val="nil"/>
              </w:pBdr>
              <w:jc w:val="center"/>
              <w:rPr>
                <w:rFonts w:asciiTheme="minorHAnsi" w:hAnsiTheme="minorHAnsi" w:cstheme="minorHAnsi"/>
                <w:b/>
                <w:sz w:val="21"/>
                <w:szCs w:val="21"/>
              </w:rPr>
            </w:pPr>
          </w:p>
        </w:tc>
      </w:tr>
      <w:tr w:rsidR="003A4FE5" w:rsidRPr="00CB2683" w14:paraId="40956064" w14:textId="77777777" w:rsidTr="003A4FE5">
        <w:trPr>
          <w:trHeight w:val="420"/>
        </w:trPr>
        <w:tc>
          <w:tcPr>
            <w:tcW w:w="4850" w:type="dxa"/>
            <w:shd w:val="clear" w:color="auto" w:fill="auto"/>
            <w:tcMar>
              <w:top w:w="100" w:type="dxa"/>
              <w:left w:w="100" w:type="dxa"/>
              <w:bottom w:w="100" w:type="dxa"/>
              <w:right w:w="100" w:type="dxa"/>
            </w:tcMar>
          </w:tcPr>
          <w:p w14:paraId="7D152CF1" w14:textId="77777777"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bookmarkStart w:id="1" w:name="_yveuzemzaked" w:colFirst="0" w:colLast="0"/>
            <w:bookmarkEnd w:id="1"/>
            <w:r w:rsidRPr="00CB2683">
              <w:rPr>
                <w:rFonts w:asciiTheme="minorHAnsi" w:hAnsiTheme="minorHAnsi" w:cstheme="minorHAnsi"/>
                <w:sz w:val="21"/>
                <w:szCs w:val="21"/>
              </w:rPr>
              <w:t xml:space="preserve">Plan intentionally for a smooth transition between remote and hybrid instruction. </w:t>
            </w:r>
          </w:p>
          <w:p w14:paraId="306A1AA7" w14:textId="77777777" w:rsidR="008F71DC" w:rsidRPr="00CB2683" w:rsidRDefault="008F71DC" w:rsidP="003A4FE5">
            <w:pPr>
              <w:ind w:left="513" w:hanging="360"/>
              <w:rPr>
                <w:rFonts w:asciiTheme="minorHAnsi" w:hAnsiTheme="minorHAnsi" w:cstheme="minorHAnsi"/>
                <w:sz w:val="21"/>
                <w:szCs w:val="21"/>
              </w:rPr>
            </w:pPr>
          </w:p>
          <w:p w14:paraId="718D514E" w14:textId="77777777" w:rsidR="008F71DC" w:rsidRPr="00CB2683" w:rsidRDefault="008F71DC" w:rsidP="003A4FE5">
            <w:pPr>
              <w:widowControl w:val="0"/>
              <w:numPr>
                <w:ilvl w:val="0"/>
                <w:numId w:val="28"/>
              </w:numPr>
              <w:ind w:left="513"/>
              <w:rPr>
                <w:rFonts w:asciiTheme="minorHAnsi" w:hAnsiTheme="minorHAnsi" w:cstheme="minorHAnsi"/>
                <w:sz w:val="21"/>
                <w:szCs w:val="21"/>
              </w:rPr>
            </w:pPr>
            <w:r w:rsidRPr="00CB2683">
              <w:rPr>
                <w:rFonts w:asciiTheme="minorHAnsi" w:hAnsiTheme="minorHAnsi" w:cstheme="minorHAnsi"/>
                <w:sz w:val="21"/>
                <w:szCs w:val="21"/>
              </w:rPr>
              <w:t xml:space="preserve">Use resources such as the SETT Framework, the JHU AT Cycle, and Voices from the Field to assess AT needs in both the home and school settings to effectively plan for the transition to hybrid instruction. </w:t>
            </w:r>
          </w:p>
          <w:p w14:paraId="557518F7" w14:textId="77777777" w:rsidR="008F71DC" w:rsidRPr="00CB2683" w:rsidRDefault="008F71DC" w:rsidP="003A4FE5">
            <w:pPr>
              <w:widowControl w:val="0"/>
              <w:numPr>
                <w:ilvl w:val="0"/>
                <w:numId w:val="28"/>
              </w:numPr>
              <w:ind w:left="513"/>
              <w:rPr>
                <w:rFonts w:asciiTheme="minorHAnsi" w:hAnsiTheme="minorHAnsi" w:cstheme="minorHAnsi"/>
                <w:sz w:val="21"/>
                <w:szCs w:val="21"/>
              </w:rPr>
            </w:pPr>
            <w:r w:rsidRPr="00CB2683">
              <w:rPr>
                <w:rFonts w:asciiTheme="minorHAnsi" w:hAnsiTheme="minorHAnsi" w:cstheme="minorHAnsi"/>
                <w:sz w:val="21"/>
                <w:szCs w:val="21"/>
              </w:rPr>
              <w:t xml:space="preserve">Read the newly released Maryland Assistive Technology Guide. The guide provides information and tips to support consideration, documentation, and review of AT as part of the IEP process.  </w:t>
            </w:r>
          </w:p>
          <w:p w14:paraId="5ACC24A3" w14:textId="1ED45C26" w:rsidR="003A4FE5" w:rsidRPr="001E033A" w:rsidRDefault="008F71DC" w:rsidP="003A4FE5">
            <w:pPr>
              <w:widowControl w:val="0"/>
              <w:numPr>
                <w:ilvl w:val="0"/>
                <w:numId w:val="28"/>
              </w:numPr>
              <w:ind w:left="513"/>
              <w:rPr>
                <w:rFonts w:asciiTheme="minorHAnsi" w:eastAsia="Calibri" w:hAnsiTheme="minorHAnsi" w:cstheme="minorHAnsi"/>
                <w:sz w:val="21"/>
                <w:szCs w:val="21"/>
              </w:rPr>
            </w:pPr>
            <w:r w:rsidRPr="00CB2683">
              <w:rPr>
                <w:rFonts w:asciiTheme="minorHAnsi" w:hAnsiTheme="minorHAnsi" w:cstheme="minorHAnsi"/>
                <w:sz w:val="21"/>
                <w:szCs w:val="21"/>
              </w:rPr>
              <w:t xml:space="preserve">Develop an AT implementation plan that addresses a variety of service delivery models (including virtual, hybrid, and/or face-to-face instruction) and describes how the AT devices and/or services will look and feel during the </w:t>
            </w:r>
            <w:r w:rsidRPr="00CB2683">
              <w:rPr>
                <w:rFonts w:asciiTheme="minorHAnsi" w:hAnsiTheme="minorHAnsi" w:cstheme="minorHAnsi"/>
                <w:sz w:val="21"/>
                <w:szCs w:val="21"/>
              </w:rPr>
              <w:lastRenderedPageBreak/>
              <w:t xml:space="preserve">transition.  The plan will help all team members stay on the same page regarding AT implementation regardless of the setting. Clearly state the AT device and/or service, as well as its intent, where it should be used, which team members are responsible for supporting the student with its use, and prompt levels. Follow recommendations in the AT Guide to identify how providers can implement supports effectively.   </w:t>
            </w:r>
          </w:p>
        </w:tc>
        <w:tc>
          <w:tcPr>
            <w:tcW w:w="5310" w:type="dxa"/>
            <w:shd w:val="clear" w:color="auto" w:fill="auto"/>
            <w:tcMar>
              <w:top w:w="100" w:type="dxa"/>
              <w:left w:w="100" w:type="dxa"/>
              <w:bottom w:w="100" w:type="dxa"/>
              <w:right w:w="100" w:type="dxa"/>
            </w:tcMar>
          </w:tcPr>
          <w:p w14:paraId="64A656B5" w14:textId="77777777" w:rsidR="008F71DC" w:rsidRPr="00CB2683" w:rsidRDefault="00000000" w:rsidP="003A4FE5">
            <w:pPr>
              <w:widowControl w:val="0"/>
              <w:numPr>
                <w:ilvl w:val="0"/>
                <w:numId w:val="29"/>
              </w:numPr>
              <w:ind w:left="443"/>
              <w:rPr>
                <w:rFonts w:asciiTheme="minorHAnsi" w:eastAsia="Calibri" w:hAnsiTheme="minorHAnsi" w:cstheme="minorHAnsi"/>
                <w:sz w:val="21"/>
                <w:szCs w:val="21"/>
              </w:rPr>
            </w:pPr>
            <w:hyperlink r:id="rId10">
              <w:r w:rsidR="008F71DC" w:rsidRPr="00CB2683">
                <w:rPr>
                  <w:rFonts w:asciiTheme="minorHAnsi" w:eastAsia="Calibri" w:hAnsiTheme="minorHAnsi" w:cstheme="minorHAnsi"/>
                  <w:color w:val="1155CC"/>
                  <w:sz w:val="21"/>
                  <w:szCs w:val="21"/>
                  <w:u w:val="single"/>
                </w:rPr>
                <w:t>SETT Framework</w:t>
              </w:r>
            </w:hyperlink>
            <w:r w:rsidR="008F71DC" w:rsidRPr="00CB2683">
              <w:rPr>
                <w:rFonts w:asciiTheme="minorHAnsi" w:eastAsia="Calibri" w:hAnsiTheme="minorHAnsi" w:cstheme="minorHAnsi"/>
                <w:sz w:val="21"/>
                <w:szCs w:val="21"/>
              </w:rPr>
              <w:t xml:space="preserve"> - The SETT Framework </w:t>
            </w:r>
            <w:r w:rsidR="008F71DC" w:rsidRPr="00CB2683">
              <w:rPr>
                <w:rFonts w:asciiTheme="minorHAnsi" w:eastAsia="Calibri" w:hAnsiTheme="minorHAnsi" w:cstheme="minorHAnsi"/>
                <w:color w:val="202124"/>
                <w:sz w:val="21"/>
                <w:szCs w:val="21"/>
                <w:highlight w:val="white"/>
              </w:rPr>
              <w:t xml:space="preserve">guides teams to collect and organize information to facilitate collaborative decisions about AT devices and/or services for students with disabilities. </w:t>
            </w:r>
            <w:r w:rsidR="008F71DC" w:rsidRPr="00CB2683">
              <w:rPr>
                <w:rFonts w:asciiTheme="minorHAnsi" w:eastAsia="Calibri" w:hAnsiTheme="minorHAnsi" w:cstheme="minorHAnsi"/>
                <w:b/>
                <w:color w:val="202124"/>
                <w:sz w:val="21"/>
                <w:szCs w:val="21"/>
                <w:highlight w:val="white"/>
              </w:rPr>
              <w:t>SETT</w:t>
            </w:r>
            <w:r w:rsidR="008F71DC" w:rsidRPr="00CB2683">
              <w:rPr>
                <w:rFonts w:asciiTheme="minorHAnsi" w:eastAsia="Calibri" w:hAnsiTheme="minorHAnsi" w:cstheme="minorHAnsi"/>
                <w:color w:val="202124"/>
                <w:sz w:val="21"/>
                <w:szCs w:val="21"/>
                <w:highlight w:val="white"/>
              </w:rPr>
              <w:t xml:space="preserve"> is an acronym for Student, Environments, Tasks and Tools.</w:t>
            </w:r>
          </w:p>
          <w:p w14:paraId="5C594142" w14:textId="77777777" w:rsidR="008F71DC" w:rsidRPr="00CB2683" w:rsidRDefault="00000000" w:rsidP="003A4FE5">
            <w:pPr>
              <w:widowControl w:val="0"/>
              <w:numPr>
                <w:ilvl w:val="0"/>
                <w:numId w:val="29"/>
              </w:numPr>
              <w:ind w:left="443"/>
              <w:rPr>
                <w:rFonts w:asciiTheme="minorHAnsi" w:eastAsia="Calibri" w:hAnsiTheme="minorHAnsi" w:cstheme="minorHAnsi"/>
                <w:sz w:val="21"/>
                <w:szCs w:val="21"/>
              </w:rPr>
            </w:pPr>
            <w:hyperlink r:id="rId11">
              <w:r w:rsidR="008F71DC" w:rsidRPr="00CB2683">
                <w:rPr>
                  <w:rFonts w:asciiTheme="minorHAnsi" w:eastAsia="Calibri" w:hAnsiTheme="minorHAnsi" w:cstheme="minorHAnsi"/>
                  <w:color w:val="1155CC"/>
                  <w:sz w:val="21"/>
                  <w:szCs w:val="21"/>
                  <w:u w:val="single"/>
                </w:rPr>
                <w:t>The Maryland Assistive Technology Guide</w:t>
              </w:r>
            </w:hyperlink>
            <w:r w:rsidR="008F71DC" w:rsidRPr="00CB2683">
              <w:rPr>
                <w:rFonts w:asciiTheme="minorHAnsi" w:eastAsia="Calibri" w:hAnsiTheme="minorHAnsi" w:cstheme="minorHAnsi"/>
                <w:sz w:val="21"/>
                <w:szCs w:val="21"/>
              </w:rPr>
              <w:t xml:space="preserve"> - This guide was developed by the Maryland State Department of Education’s Department of Early Intervention and Special Education Services and members of the AT Steering Committee and </w:t>
            </w:r>
            <w:r w:rsidR="008F71DC" w:rsidRPr="00CB2683">
              <w:rPr>
                <w:rFonts w:asciiTheme="minorHAnsi" w:eastAsia="Calibri" w:hAnsiTheme="minorHAnsi" w:cstheme="minorHAnsi"/>
                <w:color w:val="231F20"/>
                <w:sz w:val="21"/>
                <w:szCs w:val="21"/>
                <w:highlight w:val="white"/>
              </w:rPr>
              <w:t>provides guidance on the comprehensive integration of assistive technology (AT) into specially designed instruction (SDI) within an integrated tiered system of supports.</w:t>
            </w:r>
          </w:p>
          <w:p w14:paraId="67296335" w14:textId="77777777" w:rsidR="008F71DC" w:rsidRPr="00CB2683" w:rsidRDefault="00000000" w:rsidP="003A4FE5">
            <w:pPr>
              <w:widowControl w:val="0"/>
              <w:numPr>
                <w:ilvl w:val="0"/>
                <w:numId w:val="29"/>
              </w:numPr>
              <w:ind w:left="443"/>
              <w:rPr>
                <w:rFonts w:asciiTheme="minorHAnsi" w:eastAsia="Calibri" w:hAnsiTheme="minorHAnsi" w:cstheme="minorHAnsi"/>
                <w:sz w:val="21"/>
                <w:szCs w:val="21"/>
              </w:rPr>
            </w:pPr>
            <w:hyperlink r:id="rId12">
              <w:r w:rsidR="008F71DC" w:rsidRPr="00CB2683">
                <w:rPr>
                  <w:rFonts w:asciiTheme="minorHAnsi" w:eastAsia="Calibri" w:hAnsiTheme="minorHAnsi" w:cstheme="minorHAnsi"/>
                  <w:color w:val="1155CC"/>
                  <w:sz w:val="21"/>
                  <w:szCs w:val="21"/>
                  <w:u w:val="single"/>
                </w:rPr>
                <w:t>Voices From the Field</w:t>
              </w:r>
            </w:hyperlink>
            <w:r w:rsidR="008F71DC" w:rsidRPr="00CB2683">
              <w:rPr>
                <w:rFonts w:asciiTheme="minorHAnsi" w:eastAsia="Calibri" w:hAnsiTheme="minorHAnsi" w:cstheme="minorHAnsi"/>
                <w:sz w:val="21"/>
                <w:szCs w:val="21"/>
              </w:rPr>
              <w:t xml:space="preserve"> -</w:t>
            </w:r>
            <w:r w:rsidR="008F71DC" w:rsidRPr="00CB2683">
              <w:rPr>
                <w:rFonts w:asciiTheme="minorHAnsi" w:eastAsia="Calibri" w:hAnsiTheme="minorHAnsi" w:cstheme="minorHAnsi"/>
                <w:color w:val="231F20"/>
                <w:sz w:val="21"/>
                <w:szCs w:val="21"/>
                <w:highlight w:val="white"/>
              </w:rPr>
              <w:t xml:space="preserve">Hear what assistive technology experts Penny Reed and Kelly Fonner have to say about each phase of the </w:t>
            </w:r>
            <w:proofErr w:type="gramStart"/>
            <w:r w:rsidR="008F71DC" w:rsidRPr="00CB2683">
              <w:rPr>
                <w:rFonts w:asciiTheme="minorHAnsi" w:eastAsia="Calibri" w:hAnsiTheme="minorHAnsi" w:cstheme="minorHAnsi"/>
                <w:color w:val="231F20"/>
                <w:sz w:val="21"/>
                <w:szCs w:val="21"/>
                <w:highlight w:val="white"/>
              </w:rPr>
              <w:t>JHU  AT</w:t>
            </w:r>
            <w:proofErr w:type="gramEnd"/>
            <w:r w:rsidR="008F71DC" w:rsidRPr="00CB2683">
              <w:rPr>
                <w:rFonts w:asciiTheme="minorHAnsi" w:eastAsia="Calibri" w:hAnsiTheme="minorHAnsi" w:cstheme="minorHAnsi"/>
                <w:color w:val="231F20"/>
                <w:sz w:val="21"/>
                <w:szCs w:val="21"/>
                <w:highlight w:val="white"/>
              </w:rPr>
              <w:t xml:space="preserve"> Cycle.</w:t>
            </w:r>
          </w:p>
          <w:p w14:paraId="39CFC71D" w14:textId="77777777" w:rsidR="008F71DC" w:rsidRPr="00CB2683" w:rsidRDefault="00000000" w:rsidP="003A4FE5">
            <w:pPr>
              <w:widowControl w:val="0"/>
              <w:numPr>
                <w:ilvl w:val="0"/>
                <w:numId w:val="29"/>
              </w:numPr>
              <w:ind w:left="443"/>
              <w:rPr>
                <w:rFonts w:asciiTheme="minorHAnsi" w:eastAsia="Calibri" w:hAnsiTheme="minorHAnsi" w:cstheme="minorHAnsi"/>
                <w:sz w:val="21"/>
                <w:szCs w:val="21"/>
              </w:rPr>
            </w:pPr>
            <w:hyperlink r:id="rId13">
              <w:r w:rsidR="008F71DC" w:rsidRPr="00CB2683">
                <w:rPr>
                  <w:rFonts w:asciiTheme="minorHAnsi" w:eastAsia="Calibri" w:hAnsiTheme="minorHAnsi" w:cstheme="minorHAnsi"/>
                  <w:color w:val="1155CC"/>
                  <w:sz w:val="21"/>
                  <w:szCs w:val="21"/>
                  <w:u w:val="single"/>
                </w:rPr>
                <w:t>AT Implementation Plan (NATRI University of Kentucky)</w:t>
              </w:r>
            </w:hyperlink>
            <w:r w:rsidR="008F71DC" w:rsidRPr="00CB2683">
              <w:rPr>
                <w:rFonts w:asciiTheme="minorHAnsi" w:eastAsia="Calibri" w:hAnsiTheme="minorHAnsi" w:cstheme="minorHAnsi"/>
                <w:sz w:val="21"/>
                <w:szCs w:val="21"/>
              </w:rPr>
              <w:t xml:space="preserve"> - This resource provides an example of a </w:t>
            </w:r>
            <w:r w:rsidR="008F71DC" w:rsidRPr="00CB2683">
              <w:rPr>
                <w:rFonts w:asciiTheme="minorHAnsi" w:eastAsia="Calibri" w:hAnsiTheme="minorHAnsi" w:cstheme="minorHAnsi"/>
                <w:sz w:val="21"/>
                <w:szCs w:val="21"/>
              </w:rPr>
              <w:lastRenderedPageBreak/>
              <w:t>detailed implementation plan for AT device use and/or services.</w:t>
            </w:r>
          </w:p>
          <w:p w14:paraId="73167BB9" w14:textId="77777777" w:rsidR="008F71DC" w:rsidRPr="00CB2683" w:rsidRDefault="008F71DC" w:rsidP="003A4FE5">
            <w:pPr>
              <w:widowControl w:val="0"/>
              <w:ind w:left="443" w:hanging="360"/>
              <w:rPr>
                <w:rFonts w:asciiTheme="minorHAnsi" w:eastAsia="Calibri" w:hAnsiTheme="minorHAnsi" w:cstheme="minorHAnsi"/>
                <w:sz w:val="21"/>
                <w:szCs w:val="21"/>
              </w:rPr>
            </w:pPr>
          </w:p>
        </w:tc>
      </w:tr>
      <w:tr w:rsidR="003A4FE5" w:rsidRPr="00CB2683" w14:paraId="56E89552" w14:textId="77777777" w:rsidTr="003A4FE5">
        <w:trPr>
          <w:trHeight w:val="420"/>
        </w:trPr>
        <w:tc>
          <w:tcPr>
            <w:tcW w:w="4850" w:type="dxa"/>
            <w:shd w:val="clear" w:color="auto" w:fill="auto"/>
            <w:tcMar>
              <w:top w:w="100" w:type="dxa"/>
              <w:left w:w="100" w:type="dxa"/>
              <w:bottom w:w="100" w:type="dxa"/>
              <w:right w:w="100" w:type="dxa"/>
            </w:tcMar>
          </w:tcPr>
          <w:p w14:paraId="3D9FC3A8" w14:textId="77777777"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r w:rsidRPr="00CB2683">
              <w:rPr>
                <w:rFonts w:asciiTheme="minorHAnsi" w:hAnsiTheme="minorHAnsi" w:cstheme="minorHAnsi"/>
                <w:sz w:val="21"/>
                <w:szCs w:val="21"/>
              </w:rPr>
              <w:lastRenderedPageBreak/>
              <w:t>Check accessibility of platforms, tools, and documents used during instruction.</w:t>
            </w:r>
          </w:p>
          <w:p w14:paraId="3521CA04" w14:textId="77777777" w:rsidR="008F71DC" w:rsidRPr="00CB2683" w:rsidRDefault="008F71DC" w:rsidP="003A4FE5">
            <w:pPr>
              <w:ind w:left="513" w:hanging="360"/>
              <w:rPr>
                <w:rFonts w:asciiTheme="minorHAnsi" w:hAnsiTheme="minorHAnsi" w:cstheme="minorHAnsi"/>
                <w:sz w:val="21"/>
                <w:szCs w:val="21"/>
              </w:rPr>
            </w:pPr>
          </w:p>
          <w:p w14:paraId="6C4FC7F4" w14:textId="77777777" w:rsidR="008F71DC" w:rsidRPr="00CB2683" w:rsidRDefault="008F71DC" w:rsidP="003A4FE5">
            <w:pPr>
              <w:numPr>
                <w:ilvl w:val="0"/>
                <w:numId w:val="31"/>
              </w:numPr>
              <w:ind w:left="513"/>
              <w:rPr>
                <w:rFonts w:asciiTheme="minorHAnsi" w:hAnsiTheme="minorHAnsi" w:cstheme="minorHAnsi"/>
                <w:sz w:val="21"/>
                <w:szCs w:val="21"/>
              </w:rPr>
            </w:pPr>
            <w:r w:rsidRPr="00CB2683">
              <w:rPr>
                <w:rFonts w:asciiTheme="minorHAnsi" w:hAnsiTheme="minorHAnsi" w:cstheme="minorHAnsi"/>
                <w:sz w:val="21"/>
                <w:szCs w:val="21"/>
              </w:rPr>
              <w:t>Look for accessibility features when using learning platforms. Most have accessibility statements that can be found by searching the site, or at the bottom of the site.</w:t>
            </w:r>
          </w:p>
          <w:p w14:paraId="4BB6C6F0" w14:textId="77777777" w:rsidR="008F71DC" w:rsidRPr="00CB2683" w:rsidRDefault="008F71DC" w:rsidP="003A4FE5">
            <w:pPr>
              <w:numPr>
                <w:ilvl w:val="0"/>
                <w:numId w:val="31"/>
              </w:numPr>
              <w:ind w:left="513"/>
              <w:rPr>
                <w:rFonts w:asciiTheme="minorHAnsi" w:hAnsiTheme="minorHAnsi" w:cstheme="minorHAnsi"/>
                <w:sz w:val="21"/>
                <w:szCs w:val="21"/>
              </w:rPr>
            </w:pPr>
            <w:r w:rsidRPr="00CB2683">
              <w:rPr>
                <w:rFonts w:asciiTheme="minorHAnsi" w:hAnsiTheme="minorHAnsi" w:cstheme="minorHAnsi"/>
                <w:sz w:val="21"/>
                <w:szCs w:val="21"/>
              </w:rPr>
              <w:t>Check accessibility of teacher generated educational materials by using the built-in accessibility review tool in Microsoft Word and PowerPoint products before instruction takes place.</w:t>
            </w:r>
          </w:p>
          <w:p w14:paraId="4E32B465" w14:textId="77777777" w:rsidR="003A4FE5" w:rsidRDefault="008F71DC" w:rsidP="001E033A">
            <w:pPr>
              <w:numPr>
                <w:ilvl w:val="0"/>
                <w:numId w:val="31"/>
              </w:numPr>
              <w:ind w:left="513"/>
              <w:rPr>
                <w:rFonts w:asciiTheme="minorHAnsi" w:hAnsiTheme="minorHAnsi" w:cstheme="minorHAnsi"/>
                <w:sz w:val="21"/>
                <w:szCs w:val="21"/>
              </w:rPr>
            </w:pPr>
            <w:r w:rsidRPr="00CB2683">
              <w:rPr>
                <w:rFonts w:asciiTheme="minorHAnsi" w:hAnsiTheme="minorHAnsi" w:cstheme="minorHAnsi"/>
                <w:sz w:val="21"/>
                <w:szCs w:val="21"/>
              </w:rPr>
              <w:t>Provide multiple ways for students to respond and/or complete their work.</w:t>
            </w:r>
          </w:p>
          <w:p w14:paraId="3C7E120B" w14:textId="77777777" w:rsidR="001E033A" w:rsidRDefault="001E033A" w:rsidP="001E033A">
            <w:pPr>
              <w:ind w:left="513"/>
              <w:rPr>
                <w:rFonts w:asciiTheme="minorHAnsi" w:hAnsiTheme="minorHAnsi" w:cstheme="minorHAnsi"/>
                <w:sz w:val="21"/>
                <w:szCs w:val="21"/>
              </w:rPr>
            </w:pPr>
          </w:p>
          <w:p w14:paraId="3DFAC339" w14:textId="0A3F6122" w:rsidR="001E033A" w:rsidRPr="001E033A" w:rsidRDefault="001E033A" w:rsidP="001E033A">
            <w:pPr>
              <w:ind w:left="513"/>
              <w:rPr>
                <w:rFonts w:asciiTheme="minorHAnsi" w:hAnsiTheme="minorHAnsi" w:cstheme="minorHAnsi"/>
                <w:sz w:val="21"/>
                <w:szCs w:val="21"/>
              </w:rPr>
            </w:pPr>
          </w:p>
        </w:tc>
        <w:tc>
          <w:tcPr>
            <w:tcW w:w="5310" w:type="dxa"/>
            <w:shd w:val="clear" w:color="auto" w:fill="auto"/>
            <w:tcMar>
              <w:top w:w="100" w:type="dxa"/>
              <w:left w:w="100" w:type="dxa"/>
              <w:bottom w:w="100" w:type="dxa"/>
              <w:right w:w="100" w:type="dxa"/>
            </w:tcMar>
          </w:tcPr>
          <w:p w14:paraId="582039F9" w14:textId="77777777" w:rsidR="008F71DC" w:rsidRPr="00CB2683" w:rsidRDefault="00000000" w:rsidP="003A4FE5">
            <w:pPr>
              <w:widowControl w:val="0"/>
              <w:numPr>
                <w:ilvl w:val="0"/>
                <w:numId w:val="26"/>
              </w:numPr>
              <w:rPr>
                <w:rFonts w:asciiTheme="minorHAnsi" w:eastAsia="Calibri" w:hAnsiTheme="minorHAnsi" w:cstheme="minorHAnsi"/>
                <w:sz w:val="21"/>
                <w:szCs w:val="21"/>
              </w:rPr>
            </w:pPr>
            <w:hyperlink r:id="rId14">
              <w:r w:rsidR="008F71DC" w:rsidRPr="00CB2683">
                <w:rPr>
                  <w:rFonts w:asciiTheme="minorHAnsi" w:eastAsia="Calibri" w:hAnsiTheme="minorHAnsi" w:cstheme="minorHAnsi"/>
                  <w:color w:val="1155CC"/>
                  <w:sz w:val="21"/>
                  <w:szCs w:val="21"/>
                  <w:u w:val="single"/>
                </w:rPr>
                <w:t>Microsoft Office Accessibility Center</w:t>
              </w:r>
            </w:hyperlink>
          </w:p>
          <w:p w14:paraId="675CDE3F" w14:textId="77777777" w:rsidR="008F71DC" w:rsidRPr="00CB2683" w:rsidRDefault="00000000" w:rsidP="003A4FE5">
            <w:pPr>
              <w:widowControl w:val="0"/>
              <w:numPr>
                <w:ilvl w:val="0"/>
                <w:numId w:val="26"/>
              </w:numPr>
              <w:rPr>
                <w:rFonts w:asciiTheme="minorHAnsi" w:eastAsia="Calibri" w:hAnsiTheme="minorHAnsi" w:cstheme="minorHAnsi"/>
                <w:sz w:val="21"/>
                <w:szCs w:val="21"/>
              </w:rPr>
            </w:pPr>
            <w:hyperlink r:id="rId15">
              <w:r w:rsidR="008F71DC" w:rsidRPr="00CB2683">
                <w:rPr>
                  <w:rFonts w:asciiTheme="minorHAnsi" w:eastAsia="Calibri" w:hAnsiTheme="minorHAnsi" w:cstheme="minorHAnsi"/>
                  <w:color w:val="1155CC"/>
                  <w:sz w:val="21"/>
                  <w:szCs w:val="21"/>
                  <w:u w:val="single"/>
                </w:rPr>
                <w:t>Google Accessibility Products and Features</w:t>
              </w:r>
            </w:hyperlink>
          </w:p>
          <w:p w14:paraId="70C6FA17" w14:textId="77777777" w:rsidR="008F71DC" w:rsidRPr="00CB2683" w:rsidRDefault="00000000" w:rsidP="003A4FE5">
            <w:pPr>
              <w:widowControl w:val="0"/>
              <w:numPr>
                <w:ilvl w:val="0"/>
                <w:numId w:val="26"/>
              </w:numPr>
              <w:rPr>
                <w:rFonts w:asciiTheme="minorHAnsi" w:eastAsia="Calibri" w:hAnsiTheme="minorHAnsi" w:cstheme="minorHAnsi"/>
                <w:sz w:val="21"/>
                <w:szCs w:val="21"/>
              </w:rPr>
            </w:pPr>
            <w:hyperlink r:id="rId16">
              <w:r w:rsidR="008F71DC" w:rsidRPr="00CB2683">
                <w:rPr>
                  <w:rFonts w:asciiTheme="minorHAnsi" w:eastAsia="Calibri" w:hAnsiTheme="minorHAnsi" w:cstheme="minorHAnsi"/>
                  <w:color w:val="1155CC"/>
                  <w:sz w:val="21"/>
                  <w:szCs w:val="21"/>
                  <w:u w:val="single"/>
                </w:rPr>
                <w:t>National Center of Education Materials</w:t>
              </w:r>
            </w:hyperlink>
          </w:p>
          <w:p w14:paraId="1C753114" w14:textId="77777777" w:rsidR="008F71DC" w:rsidRPr="00CB2683" w:rsidRDefault="008F71DC" w:rsidP="003A4FE5">
            <w:pPr>
              <w:widowControl w:val="0"/>
              <w:ind w:left="720"/>
              <w:rPr>
                <w:rFonts w:asciiTheme="minorHAnsi" w:eastAsia="Calibri" w:hAnsiTheme="minorHAnsi" w:cstheme="minorHAnsi"/>
                <w:sz w:val="21"/>
                <w:szCs w:val="21"/>
              </w:rPr>
            </w:pPr>
          </w:p>
        </w:tc>
      </w:tr>
      <w:tr w:rsidR="003A4FE5" w:rsidRPr="00CB2683" w14:paraId="159BF0B2" w14:textId="77777777" w:rsidTr="003A4FE5">
        <w:trPr>
          <w:trHeight w:val="420"/>
        </w:trPr>
        <w:tc>
          <w:tcPr>
            <w:tcW w:w="4850" w:type="dxa"/>
            <w:shd w:val="clear" w:color="auto" w:fill="auto"/>
            <w:tcMar>
              <w:top w:w="100" w:type="dxa"/>
              <w:left w:w="100" w:type="dxa"/>
              <w:bottom w:w="100" w:type="dxa"/>
              <w:right w:w="100" w:type="dxa"/>
            </w:tcMar>
          </w:tcPr>
          <w:p w14:paraId="33B54873" w14:textId="35832048"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r w:rsidRPr="00CB2683">
              <w:rPr>
                <w:rFonts w:asciiTheme="minorHAnsi" w:hAnsiTheme="minorHAnsi" w:cstheme="minorHAnsi"/>
                <w:sz w:val="21"/>
                <w:szCs w:val="21"/>
              </w:rPr>
              <w:t xml:space="preserve">Make progress monitoring of AT </w:t>
            </w:r>
            <w:proofErr w:type="spellStart"/>
            <w:r w:rsidRPr="00CB2683">
              <w:rPr>
                <w:rFonts w:asciiTheme="minorHAnsi" w:hAnsiTheme="minorHAnsi" w:cstheme="minorHAnsi"/>
                <w:sz w:val="21"/>
                <w:szCs w:val="21"/>
              </w:rPr>
              <w:t>at</w:t>
            </w:r>
            <w:proofErr w:type="spellEnd"/>
            <w:r w:rsidRPr="00CB2683">
              <w:rPr>
                <w:rFonts w:asciiTheme="minorHAnsi" w:hAnsiTheme="minorHAnsi" w:cstheme="minorHAnsi"/>
                <w:sz w:val="21"/>
                <w:szCs w:val="21"/>
              </w:rPr>
              <w:t xml:space="preserve"> home and school as consistent and easy as possible. </w:t>
            </w:r>
          </w:p>
          <w:p w14:paraId="027A3EE7" w14:textId="77777777" w:rsidR="003A4FE5" w:rsidRPr="00CB2683" w:rsidRDefault="003A4FE5" w:rsidP="003A4FE5">
            <w:pPr>
              <w:pStyle w:val="Heading1"/>
              <w:keepNext w:val="0"/>
              <w:widowControl w:val="0"/>
              <w:ind w:left="513" w:right="315"/>
              <w:jc w:val="left"/>
              <w:rPr>
                <w:rFonts w:asciiTheme="minorHAnsi" w:hAnsiTheme="minorHAnsi" w:cstheme="minorHAnsi"/>
                <w:sz w:val="21"/>
                <w:szCs w:val="21"/>
              </w:rPr>
            </w:pPr>
          </w:p>
          <w:p w14:paraId="4CA93F90" w14:textId="7DCCE77F"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Talk to family members to identify the most effective way to gather information and data about the student’s progress using AT</w:t>
            </w:r>
            <w:r w:rsidR="003A4FE5" w:rsidRPr="00CB2683">
              <w:rPr>
                <w:rFonts w:asciiTheme="minorHAnsi" w:hAnsiTheme="minorHAnsi" w:cstheme="minorHAnsi"/>
                <w:sz w:val="21"/>
                <w:szCs w:val="21"/>
              </w:rPr>
              <w:t xml:space="preserve"> </w:t>
            </w:r>
            <w:proofErr w:type="spellStart"/>
            <w:r w:rsidRPr="00CB2683">
              <w:rPr>
                <w:rFonts w:asciiTheme="minorHAnsi" w:hAnsiTheme="minorHAnsi" w:cstheme="minorHAnsi"/>
                <w:sz w:val="21"/>
                <w:szCs w:val="21"/>
              </w:rPr>
              <w:t>at</w:t>
            </w:r>
            <w:proofErr w:type="spellEnd"/>
            <w:r w:rsidRPr="00CB2683">
              <w:rPr>
                <w:rFonts w:asciiTheme="minorHAnsi" w:hAnsiTheme="minorHAnsi" w:cstheme="minorHAnsi"/>
                <w:sz w:val="21"/>
                <w:szCs w:val="21"/>
              </w:rPr>
              <w:t xml:space="preserve"> home.</w:t>
            </w:r>
          </w:p>
          <w:p w14:paraId="13F864B6" w14:textId="77777777"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 xml:space="preserve">Consider taking data online!  Many products provide users with the ability to collect data easily online, rather than scanning or mailing paper documents. </w:t>
            </w:r>
          </w:p>
          <w:p w14:paraId="3B3C5516" w14:textId="77777777"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 xml:space="preserve">Clearly review prompt levels and make sure that all team members, including families, understand how to fade prompts to promote independent use of AT. </w:t>
            </w:r>
          </w:p>
          <w:p w14:paraId="149904F6" w14:textId="73A39C93" w:rsidR="003A4FE5" w:rsidRPr="00236D2B" w:rsidRDefault="008F71DC" w:rsidP="00236D2B">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Avoid over-prompting! Student behavior may change when the setting is different, be aware of this and adjust the plan accordingly with the goal of promoting independent use of the AT solution.</w:t>
            </w:r>
          </w:p>
        </w:tc>
        <w:tc>
          <w:tcPr>
            <w:tcW w:w="5310" w:type="dxa"/>
            <w:shd w:val="clear" w:color="auto" w:fill="auto"/>
            <w:tcMar>
              <w:top w:w="100" w:type="dxa"/>
              <w:left w:w="100" w:type="dxa"/>
              <w:bottom w:w="100" w:type="dxa"/>
              <w:right w:w="100" w:type="dxa"/>
            </w:tcMar>
          </w:tcPr>
          <w:p w14:paraId="4D600E49" w14:textId="77777777" w:rsidR="008F71DC" w:rsidRPr="00CB2683" w:rsidRDefault="00000000" w:rsidP="003A4FE5">
            <w:pPr>
              <w:widowControl w:val="0"/>
              <w:numPr>
                <w:ilvl w:val="0"/>
                <w:numId w:val="23"/>
              </w:numPr>
              <w:rPr>
                <w:rFonts w:asciiTheme="minorHAnsi" w:eastAsia="Calibri" w:hAnsiTheme="minorHAnsi" w:cstheme="minorHAnsi"/>
                <w:sz w:val="21"/>
                <w:szCs w:val="21"/>
              </w:rPr>
            </w:pPr>
            <w:hyperlink r:id="rId17">
              <w:r w:rsidR="008F71DC" w:rsidRPr="00CB2683">
                <w:rPr>
                  <w:rFonts w:asciiTheme="minorHAnsi" w:eastAsia="Calibri" w:hAnsiTheme="minorHAnsi" w:cstheme="minorHAnsi"/>
                  <w:color w:val="1155CC"/>
                  <w:sz w:val="21"/>
                  <w:szCs w:val="21"/>
                  <w:u w:val="single"/>
                </w:rPr>
                <w:t>Guidance to promote prompt fading</w:t>
              </w:r>
            </w:hyperlink>
          </w:p>
          <w:p w14:paraId="7910D3D8" w14:textId="77777777" w:rsidR="008F71DC" w:rsidRPr="00CB2683" w:rsidRDefault="008F71DC" w:rsidP="003A4FE5">
            <w:pPr>
              <w:widowControl w:val="0"/>
              <w:ind w:left="720"/>
              <w:rPr>
                <w:rFonts w:asciiTheme="minorHAnsi" w:eastAsia="Calibri" w:hAnsiTheme="minorHAnsi" w:cstheme="minorHAnsi"/>
                <w:sz w:val="21"/>
                <w:szCs w:val="21"/>
              </w:rPr>
            </w:pPr>
          </w:p>
        </w:tc>
      </w:tr>
      <w:tr w:rsidR="003A4FE5" w:rsidRPr="00CB2683" w14:paraId="2701D798" w14:textId="77777777" w:rsidTr="003A4FE5">
        <w:trPr>
          <w:trHeight w:val="420"/>
        </w:trPr>
        <w:tc>
          <w:tcPr>
            <w:tcW w:w="4850" w:type="dxa"/>
            <w:shd w:val="clear" w:color="auto" w:fill="auto"/>
            <w:tcMar>
              <w:top w:w="100" w:type="dxa"/>
              <w:left w:w="100" w:type="dxa"/>
              <w:bottom w:w="100" w:type="dxa"/>
              <w:right w:w="100" w:type="dxa"/>
            </w:tcMar>
          </w:tcPr>
          <w:p w14:paraId="1A6D8D72" w14:textId="26CBE81B"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r w:rsidRPr="00CB2683">
              <w:rPr>
                <w:rFonts w:asciiTheme="minorHAnsi" w:hAnsiTheme="minorHAnsi" w:cstheme="minorHAnsi"/>
                <w:sz w:val="21"/>
                <w:szCs w:val="21"/>
              </w:rPr>
              <w:lastRenderedPageBreak/>
              <w:t>Always have a “Plan B”</w:t>
            </w:r>
          </w:p>
          <w:p w14:paraId="77941286" w14:textId="77777777" w:rsidR="003A4FE5" w:rsidRPr="00CB2683" w:rsidRDefault="003A4FE5" w:rsidP="003A4FE5">
            <w:pPr>
              <w:pStyle w:val="Heading1"/>
              <w:keepNext w:val="0"/>
              <w:widowControl w:val="0"/>
              <w:ind w:left="513" w:right="315"/>
              <w:jc w:val="left"/>
              <w:rPr>
                <w:rFonts w:asciiTheme="minorHAnsi" w:hAnsiTheme="minorHAnsi" w:cstheme="minorHAnsi"/>
                <w:sz w:val="21"/>
                <w:szCs w:val="21"/>
              </w:rPr>
            </w:pPr>
          </w:p>
          <w:p w14:paraId="77D80B67" w14:textId="77777777"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Remember that AT includes ANY item that increases independence, and can include low, medium or high-tech tools.</w:t>
            </w:r>
          </w:p>
          <w:p w14:paraId="363A6914" w14:textId="77777777"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Clearly state your “plan b” in the AT implementation plan. Document what you will do if the current AT solution breaks, is lost, or is not able to be used.</w:t>
            </w:r>
          </w:p>
          <w:p w14:paraId="0D401945" w14:textId="77777777" w:rsidR="008F71DC" w:rsidRPr="00CB2683" w:rsidRDefault="008F71DC" w:rsidP="003A4FE5">
            <w:pPr>
              <w:widowControl w:val="0"/>
              <w:numPr>
                <w:ilvl w:val="0"/>
                <w:numId w:val="22"/>
              </w:numPr>
              <w:ind w:left="513"/>
              <w:rPr>
                <w:rFonts w:asciiTheme="minorHAnsi" w:hAnsiTheme="minorHAnsi" w:cstheme="minorHAnsi"/>
                <w:sz w:val="21"/>
                <w:szCs w:val="21"/>
              </w:rPr>
            </w:pPr>
            <w:r w:rsidRPr="00CB2683">
              <w:rPr>
                <w:rFonts w:asciiTheme="minorHAnsi" w:hAnsiTheme="minorHAnsi" w:cstheme="minorHAnsi"/>
                <w:sz w:val="21"/>
                <w:szCs w:val="21"/>
              </w:rPr>
              <w:t>Teach the student about the “plan B” and why it is important through social stories or direct instruction.  The student should know how to use the “plan B” BEFORE their device is inaccessible.  Understanding the purpose of the AT and how to use it promotes independence and self-advocacy.</w:t>
            </w:r>
          </w:p>
          <w:p w14:paraId="79DDE513" w14:textId="3ACE091B" w:rsidR="003A4FE5" w:rsidRPr="00CB2683" w:rsidRDefault="003A4FE5" w:rsidP="003A4FE5">
            <w:pPr>
              <w:widowControl w:val="0"/>
              <w:ind w:left="513"/>
              <w:rPr>
                <w:rFonts w:asciiTheme="minorHAnsi" w:hAnsiTheme="minorHAnsi" w:cstheme="minorHAnsi"/>
                <w:sz w:val="21"/>
                <w:szCs w:val="21"/>
              </w:rPr>
            </w:pPr>
          </w:p>
        </w:tc>
        <w:tc>
          <w:tcPr>
            <w:tcW w:w="5310" w:type="dxa"/>
            <w:shd w:val="clear" w:color="auto" w:fill="auto"/>
            <w:tcMar>
              <w:top w:w="100" w:type="dxa"/>
              <w:left w:w="100" w:type="dxa"/>
              <w:bottom w:w="100" w:type="dxa"/>
              <w:right w:w="100" w:type="dxa"/>
            </w:tcMar>
          </w:tcPr>
          <w:p w14:paraId="50AA0EAD" w14:textId="77777777" w:rsidR="008F71DC" w:rsidRPr="00CB2683" w:rsidRDefault="00000000" w:rsidP="003A4FE5">
            <w:pPr>
              <w:widowControl w:val="0"/>
              <w:numPr>
                <w:ilvl w:val="0"/>
                <w:numId w:val="24"/>
              </w:numPr>
              <w:rPr>
                <w:rFonts w:asciiTheme="minorHAnsi" w:eastAsia="Calibri" w:hAnsiTheme="minorHAnsi" w:cstheme="minorHAnsi"/>
                <w:sz w:val="21"/>
                <w:szCs w:val="21"/>
              </w:rPr>
            </w:pPr>
            <w:hyperlink r:id="rId18">
              <w:r w:rsidR="008F71DC" w:rsidRPr="00CB2683">
                <w:rPr>
                  <w:rFonts w:asciiTheme="minorHAnsi" w:eastAsia="Calibri" w:hAnsiTheme="minorHAnsi" w:cstheme="minorHAnsi"/>
                  <w:color w:val="1155CC"/>
                  <w:sz w:val="21"/>
                  <w:szCs w:val="21"/>
                  <w:u w:val="single"/>
                </w:rPr>
                <w:t>AT Continuum of Considerations</w:t>
              </w:r>
            </w:hyperlink>
          </w:p>
        </w:tc>
      </w:tr>
      <w:tr w:rsidR="003A4FE5" w:rsidRPr="00CB2683" w14:paraId="18EE04DD" w14:textId="77777777" w:rsidTr="003A4FE5">
        <w:trPr>
          <w:trHeight w:val="420"/>
        </w:trPr>
        <w:tc>
          <w:tcPr>
            <w:tcW w:w="4850" w:type="dxa"/>
            <w:shd w:val="clear" w:color="auto" w:fill="auto"/>
            <w:tcMar>
              <w:top w:w="100" w:type="dxa"/>
              <w:left w:w="100" w:type="dxa"/>
              <w:bottom w:w="100" w:type="dxa"/>
              <w:right w:w="100" w:type="dxa"/>
            </w:tcMar>
          </w:tcPr>
          <w:p w14:paraId="0CB8A668" w14:textId="069790CD"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r w:rsidRPr="00CB2683">
              <w:rPr>
                <w:rFonts w:asciiTheme="minorHAnsi" w:hAnsiTheme="minorHAnsi" w:cstheme="minorHAnsi"/>
                <w:sz w:val="21"/>
                <w:szCs w:val="21"/>
              </w:rPr>
              <w:t>Celebrate student and implementation team success!</w:t>
            </w:r>
          </w:p>
          <w:p w14:paraId="7F9AAE28" w14:textId="77777777" w:rsidR="003A4FE5" w:rsidRPr="00CB2683" w:rsidRDefault="003A4FE5" w:rsidP="003A4FE5">
            <w:pPr>
              <w:pStyle w:val="Heading1"/>
              <w:keepNext w:val="0"/>
              <w:widowControl w:val="0"/>
              <w:ind w:left="513" w:right="315"/>
              <w:jc w:val="left"/>
              <w:rPr>
                <w:rFonts w:asciiTheme="minorHAnsi" w:hAnsiTheme="minorHAnsi" w:cstheme="minorHAnsi"/>
                <w:sz w:val="21"/>
                <w:szCs w:val="21"/>
              </w:rPr>
            </w:pPr>
          </w:p>
          <w:p w14:paraId="22D4A280" w14:textId="77777777" w:rsidR="008F71DC" w:rsidRPr="00CB2683" w:rsidRDefault="008F71DC" w:rsidP="003A4FE5">
            <w:pPr>
              <w:numPr>
                <w:ilvl w:val="0"/>
                <w:numId w:val="27"/>
              </w:numPr>
              <w:ind w:left="513"/>
              <w:rPr>
                <w:rFonts w:asciiTheme="minorHAnsi" w:hAnsiTheme="minorHAnsi" w:cstheme="minorHAnsi"/>
                <w:sz w:val="21"/>
                <w:szCs w:val="21"/>
              </w:rPr>
            </w:pPr>
            <w:r w:rsidRPr="00CB2683">
              <w:rPr>
                <w:rFonts w:asciiTheme="minorHAnsi" w:hAnsiTheme="minorHAnsi" w:cstheme="minorHAnsi"/>
                <w:sz w:val="21"/>
                <w:szCs w:val="21"/>
              </w:rPr>
              <w:t xml:space="preserve">Be your student’s cheerleader and celebrate when students use AT in more than one instructional </w:t>
            </w:r>
            <w:proofErr w:type="gramStart"/>
            <w:r w:rsidRPr="00CB2683">
              <w:rPr>
                <w:rFonts w:asciiTheme="minorHAnsi" w:hAnsiTheme="minorHAnsi" w:cstheme="minorHAnsi"/>
                <w:sz w:val="21"/>
                <w:szCs w:val="21"/>
              </w:rPr>
              <w:t>setting, or</w:t>
            </w:r>
            <w:proofErr w:type="gramEnd"/>
            <w:r w:rsidRPr="00CB2683">
              <w:rPr>
                <w:rFonts w:asciiTheme="minorHAnsi" w:hAnsiTheme="minorHAnsi" w:cstheme="minorHAnsi"/>
                <w:sz w:val="21"/>
                <w:szCs w:val="21"/>
              </w:rPr>
              <w:t xml:space="preserve"> increase independence with AT.</w:t>
            </w:r>
          </w:p>
          <w:p w14:paraId="526ABD40" w14:textId="77777777" w:rsidR="008F71DC" w:rsidRPr="00CB2683" w:rsidRDefault="008F71DC" w:rsidP="003A4FE5">
            <w:pPr>
              <w:numPr>
                <w:ilvl w:val="0"/>
                <w:numId w:val="27"/>
              </w:numPr>
              <w:ind w:left="513"/>
              <w:rPr>
                <w:rFonts w:asciiTheme="minorHAnsi" w:hAnsiTheme="minorHAnsi" w:cstheme="minorHAnsi"/>
                <w:sz w:val="21"/>
                <w:szCs w:val="21"/>
              </w:rPr>
            </w:pPr>
            <w:r w:rsidRPr="00CB2683">
              <w:rPr>
                <w:rFonts w:asciiTheme="minorHAnsi" w:hAnsiTheme="minorHAnsi" w:cstheme="minorHAnsi"/>
                <w:sz w:val="21"/>
                <w:szCs w:val="21"/>
              </w:rPr>
              <w:t xml:space="preserve">Think of the AT solution as the bridge to improve access to their environment, whether this is in the home, school, community, or post-school setting. </w:t>
            </w:r>
          </w:p>
          <w:p w14:paraId="3CBCA094" w14:textId="77777777" w:rsidR="008F71DC" w:rsidRPr="00CB2683" w:rsidRDefault="008F71DC" w:rsidP="003A4FE5">
            <w:pPr>
              <w:numPr>
                <w:ilvl w:val="0"/>
                <w:numId w:val="27"/>
              </w:numPr>
              <w:ind w:left="513"/>
              <w:rPr>
                <w:rFonts w:asciiTheme="minorHAnsi" w:hAnsiTheme="minorHAnsi" w:cstheme="minorHAnsi"/>
                <w:sz w:val="21"/>
                <w:szCs w:val="21"/>
              </w:rPr>
            </w:pPr>
            <w:r w:rsidRPr="00CB2683">
              <w:rPr>
                <w:rFonts w:asciiTheme="minorHAnsi" w:hAnsiTheme="minorHAnsi" w:cstheme="minorHAnsi"/>
                <w:sz w:val="21"/>
                <w:szCs w:val="21"/>
              </w:rPr>
              <w:t>Ask your student how they feel about their AT, and always consider them the most important member of your implementation team.</w:t>
            </w:r>
          </w:p>
          <w:p w14:paraId="63EB154B" w14:textId="6F1611FA" w:rsidR="003A4FE5" w:rsidRPr="00CB2683" w:rsidRDefault="003A4FE5" w:rsidP="003A4FE5">
            <w:pPr>
              <w:ind w:left="513"/>
              <w:rPr>
                <w:rFonts w:asciiTheme="minorHAnsi" w:hAnsiTheme="minorHAnsi" w:cstheme="minorHAnsi"/>
                <w:sz w:val="21"/>
                <w:szCs w:val="21"/>
              </w:rPr>
            </w:pPr>
          </w:p>
        </w:tc>
        <w:tc>
          <w:tcPr>
            <w:tcW w:w="5310" w:type="dxa"/>
            <w:shd w:val="clear" w:color="auto" w:fill="auto"/>
            <w:tcMar>
              <w:top w:w="100" w:type="dxa"/>
              <w:left w:w="100" w:type="dxa"/>
              <w:bottom w:w="100" w:type="dxa"/>
              <w:right w:w="100" w:type="dxa"/>
            </w:tcMar>
          </w:tcPr>
          <w:p w14:paraId="4C9CBE4E" w14:textId="77777777" w:rsidR="008F71DC" w:rsidRPr="00CB2683" w:rsidRDefault="00000000" w:rsidP="003A4FE5">
            <w:pPr>
              <w:widowControl w:val="0"/>
              <w:numPr>
                <w:ilvl w:val="0"/>
                <w:numId w:val="25"/>
              </w:numPr>
              <w:rPr>
                <w:rFonts w:asciiTheme="minorHAnsi" w:eastAsia="Calibri" w:hAnsiTheme="minorHAnsi" w:cstheme="minorHAnsi"/>
                <w:sz w:val="21"/>
                <w:szCs w:val="21"/>
              </w:rPr>
            </w:pPr>
            <w:hyperlink r:id="rId19">
              <w:r w:rsidR="008F71DC" w:rsidRPr="00CB2683">
                <w:rPr>
                  <w:rFonts w:asciiTheme="minorHAnsi" w:eastAsia="Calibri" w:hAnsiTheme="minorHAnsi" w:cstheme="minorHAnsi"/>
                  <w:color w:val="1155CC"/>
                  <w:sz w:val="21"/>
                  <w:szCs w:val="21"/>
                  <w:u w:val="single"/>
                </w:rPr>
                <w:t>Using AT to Empower Students with Disabilities (ED Tech Article)</w:t>
              </w:r>
            </w:hyperlink>
          </w:p>
          <w:p w14:paraId="343D8AEE" w14:textId="77777777" w:rsidR="008F71DC" w:rsidRPr="00CB2683" w:rsidRDefault="00000000" w:rsidP="003A4FE5">
            <w:pPr>
              <w:widowControl w:val="0"/>
              <w:numPr>
                <w:ilvl w:val="0"/>
                <w:numId w:val="25"/>
              </w:numPr>
              <w:rPr>
                <w:rFonts w:asciiTheme="minorHAnsi" w:eastAsia="Calibri" w:hAnsiTheme="minorHAnsi" w:cstheme="minorHAnsi"/>
                <w:sz w:val="21"/>
                <w:szCs w:val="21"/>
              </w:rPr>
            </w:pPr>
            <w:hyperlink r:id="rId20">
              <w:r w:rsidR="008F71DC" w:rsidRPr="00CB2683">
                <w:rPr>
                  <w:rFonts w:asciiTheme="minorHAnsi" w:eastAsia="Calibri" w:hAnsiTheme="minorHAnsi" w:cstheme="minorHAnsi"/>
                  <w:color w:val="1155CC"/>
                  <w:sz w:val="21"/>
                  <w:szCs w:val="21"/>
                  <w:u w:val="single"/>
                </w:rPr>
                <w:t xml:space="preserve">National Assistive Technology Research Institute </w:t>
              </w:r>
              <w:proofErr w:type="spellStart"/>
              <w:r w:rsidR="008F71DC" w:rsidRPr="00CB2683">
                <w:rPr>
                  <w:rFonts w:asciiTheme="minorHAnsi" w:eastAsia="Calibri" w:hAnsiTheme="minorHAnsi" w:cstheme="minorHAnsi"/>
                  <w:color w:val="1155CC"/>
                  <w:sz w:val="21"/>
                  <w:szCs w:val="21"/>
                  <w:u w:val="single"/>
                </w:rPr>
                <w:t>SIte</w:t>
              </w:r>
              <w:proofErr w:type="spellEnd"/>
            </w:hyperlink>
          </w:p>
          <w:p w14:paraId="3807A913" w14:textId="77777777" w:rsidR="008F71DC" w:rsidRPr="00CB2683" w:rsidRDefault="00000000" w:rsidP="003A4FE5">
            <w:pPr>
              <w:widowControl w:val="0"/>
              <w:numPr>
                <w:ilvl w:val="0"/>
                <w:numId w:val="25"/>
              </w:numPr>
              <w:rPr>
                <w:rFonts w:asciiTheme="minorHAnsi" w:eastAsia="Calibri" w:hAnsiTheme="minorHAnsi" w:cstheme="minorHAnsi"/>
                <w:sz w:val="21"/>
                <w:szCs w:val="21"/>
              </w:rPr>
            </w:pPr>
            <w:hyperlink r:id="rId21">
              <w:r w:rsidR="008F71DC" w:rsidRPr="00CB2683">
                <w:rPr>
                  <w:rFonts w:asciiTheme="minorHAnsi" w:eastAsia="Calibri" w:hAnsiTheme="minorHAnsi" w:cstheme="minorHAnsi"/>
                  <w:color w:val="1155CC"/>
                  <w:sz w:val="21"/>
                  <w:szCs w:val="21"/>
                  <w:u w:val="single"/>
                </w:rPr>
                <w:t xml:space="preserve">Using Technology to Select </w:t>
              </w:r>
              <w:proofErr w:type="spellStart"/>
              <w:r w:rsidR="008F71DC" w:rsidRPr="00CB2683">
                <w:rPr>
                  <w:rFonts w:asciiTheme="minorHAnsi" w:eastAsia="Calibri" w:hAnsiTheme="minorHAnsi" w:cstheme="minorHAnsi"/>
                  <w:color w:val="1155CC"/>
                  <w:sz w:val="21"/>
                  <w:szCs w:val="21"/>
                  <w:u w:val="single"/>
                </w:rPr>
                <w:t>HIgh</w:t>
              </w:r>
              <w:proofErr w:type="spellEnd"/>
              <w:r w:rsidR="008F71DC" w:rsidRPr="00CB2683">
                <w:rPr>
                  <w:rFonts w:asciiTheme="minorHAnsi" w:eastAsia="Calibri" w:hAnsiTheme="minorHAnsi" w:cstheme="minorHAnsi"/>
                  <w:color w:val="1155CC"/>
                  <w:sz w:val="21"/>
                  <w:szCs w:val="21"/>
                  <w:u w:val="single"/>
                </w:rPr>
                <w:t xml:space="preserve"> Leverage Practices in Special Education</w:t>
              </w:r>
            </w:hyperlink>
          </w:p>
        </w:tc>
      </w:tr>
      <w:tr w:rsidR="003A4FE5" w:rsidRPr="00CB2683" w14:paraId="0FDB2F4B" w14:textId="77777777" w:rsidTr="003A4FE5">
        <w:trPr>
          <w:trHeight w:val="420"/>
        </w:trPr>
        <w:tc>
          <w:tcPr>
            <w:tcW w:w="4850" w:type="dxa"/>
            <w:shd w:val="clear" w:color="auto" w:fill="auto"/>
            <w:tcMar>
              <w:top w:w="100" w:type="dxa"/>
              <w:left w:w="100" w:type="dxa"/>
              <w:bottom w:w="100" w:type="dxa"/>
              <w:right w:w="100" w:type="dxa"/>
            </w:tcMar>
          </w:tcPr>
          <w:p w14:paraId="78DF9C7B" w14:textId="77777777" w:rsidR="008F71DC" w:rsidRPr="00CB2683" w:rsidRDefault="008F71DC" w:rsidP="003A4FE5">
            <w:pPr>
              <w:pStyle w:val="Heading1"/>
              <w:keepNext w:val="0"/>
              <w:widowControl w:val="0"/>
              <w:numPr>
                <w:ilvl w:val="0"/>
                <w:numId w:val="30"/>
              </w:numPr>
              <w:ind w:left="513" w:right="315"/>
              <w:jc w:val="left"/>
              <w:rPr>
                <w:rFonts w:asciiTheme="minorHAnsi" w:hAnsiTheme="minorHAnsi" w:cstheme="minorHAnsi"/>
                <w:sz w:val="21"/>
                <w:szCs w:val="21"/>
              </w:rPr>
            </w:pPr>
            <w:bookmarkStart w:id="2" w:name="_h7bse5x2e3ij" w:colFirst="0" w:colLast="0"/>
            <w:bookmarkEnd w:id="2"/>
            <w:r w:rsidRPr="00CB2683">
              <w:rPr>
                <w:rFonts w:asciiTheme="minorHAnsi" w:hAnsiTheme="minorHAnsi" w:cstheme="minorHAnsi"/>
                <w:sz w:val="21"/>
                <w:szCs w:val="21"/>
              </w:rPr>
              <w:t xml:space="preserve">What’s New in the AT Field? Read the article </w:t>
            </w:r>
            <w:r w:rsidRPr="00CB2683">
              <w:rPr>
                <w:rFonts w:asciiTheme="minorHAnsi" w:hAnsiTheme="minorHAnsi" w:cstheme="minorHAnsi"/>
                <w:i/>
                <w:sz w:val="21"/>
                <w:szCs w:val="21"/>
              </w:rPr>
              <w:t xml:space="preserve">Digital Accessibility: How Schools and Teachers Can Support Students with Disabilities in Remote Learning </w:t>
            </w:r>
            <w:r w:rsidRPr="00CB2683">
              <w:rPr>
                <w:rFonts w:asciiTheme="minorHAnsi" w:hAnsiTheme="minorHAnsi" w:cstheme="minorHAnsi"/>
                <w:sz w:val="21"/>
                <w:szCs w:val="21"/>
              </w:rPr>
              <w:t xml:space="preserve"> for updates regarding </w:t>
            </w:r>
            <w:r w:rsidRPr="00CB2683">
              <w:rPr>
                <w:rFonts w:asciiTheme="minorHAnsi" w:hAnsiTheme="minorHAnsi" w:cstheme="minorHAnsi"/>
                <w:sz w:val="21"/>
                <w:szCs w:val="21"/>
                <w:highlight w:val="white"/>
              </w:rPr>
              <w:t>equitable digital materials and platforms that work with assistive technology tools for students with disabilities.</w:t>
            </w:r>
          </w:p>
          <w:p w14:paraId="7E3D4648" w14:textId="2B6911E1" w:rsidR="003A4FE5" w:rsidRPr="00CB2683" w:rsidRDefault="003A4FE5" w:rsidP="003A4FE5">
            <w:pPr>
              <w:pStyle w:val="Heading1"/>
              <w:keepNext w:val="0"/>
              <w:widowControl w:val="0"/>
              <w:ind w:left="513" w:right="315"/>
              <w:jc w:val="left"/>
              <w:rPr>
                <w:rFonts w:asciiTheme="minorHAnsi" w:hAnsiTheme="minorHAnsi" w:cstheme="minorHAnsi"/>
                <w:sz w:val="21"/>
                <w:szCs w:val="21"/>
              </w:rPr>
            </w:pPr>
          </w:p>
        </w:tc>
        <w:tc>
          <w:tcPr>
            <w:tcW w:w="5310" w:type="dxa"/>
            <w:shd w:val="clear" w:color="auto" w:fill="auto"/>
            <w:tcMar>
              <w:top w:w="100" w:type="dxa"/>
              <w:left w:w="100" w:type="dxa"/>
              <w:bottom w:w="100" w:type="dxa"/>
              <w:right w:w="100" w:type="dxa"/>
            </w:tcMar>
          </w:tcPr>
          <w:p w14:paraId="0FBE3A9C" w14:textId="77777777" w:rsidR="008F71DC" w:rsidRPr="00CB2683" w:rsidRDefault="00000000" w:rsidP="003A4FE5">
            <w:pPr>
              <w:widowControl w:val="0"/>
              <w:numPr>
                <w:ilvl w:val="0"/>
                <w:numId w:val="26"/>
              </w:numPr>
              <w:rPr>
                <w:rFonts w:asciiTheme="minorHAnsi" w:eastAsia="Calibri" w:hAnsiTheme="minorHAnsi" w:cstheme="minorHAnsi"/>
                <w:sz w:val="21"/>
                <w:szCs w:val="21"/>
              </w:rPr>
            </w:pPr>
            <w:hyperlink r:id="rId22">
              <w:r w:rsidR="008F71DC" w:rsidRPr="00CB2683">
                <w:rPr>
                  <w:rFonts w:asciiTheme="minorHAnsi" w:eastAsia="Calibri" w:hAnsiTheme="minorHAnsi" w:cstheme="minorHAnsi"/>
                  <w:color w:val="1155CC"/>
                  <w:sz w:val="21"/>
                  <w:szCs w:val="21"/>
                  <w:u w:val="single"/>
                </w:rPr>
                <w:t>Digital Accessibility Article</w:t>
              </w:r>
            </w:hyperlink>
          </w:p>
        </w:tc>
      </w:tr>
    </w:tbl>
    <w:p w14:paraId="66B201B2" w14:textId="77777777" w:rsidR="008F71DC" w:rsidRPr="00CB2683" w:rsidRDefault="008F71DC" w:rsidP="008F71DC">
      <w:pPr>
        <w:rPr>
          <w:rFonts w:asciiTheme="minorHAnsi" w:hAnsiTheme="minorHAnsi" w:cstheme="minorHAnsi"/>
        </w:rPr>
      </w:pPr>
    </w:p>
    <w:p w14:paraId="55F8055F" w14:textId="77777777" w:rsidR="008F71DC" w:rsidRPr="00CB2683" w:rsidRDefault="008F71DC" w:rsidP="008F71DC">
      <w:pPr>
        <w:rPr>
          <w:rFonts w:asciiTheme="minorHAnsi" w:hAnsiTheme="minorHAnsi" w:cstheme="minorHAnsi"/>
        </w:rPr>
      </w:pPr>
    </w:p>
    <w:p w14:paraId="26F2E315" w14:textId="0F892A8D" w:rsidR="003A4FE5" w:rsidRPr="00CB2683" w:rsidRDefault="003A4FE5">
      <w:pPr>
        <w:rPr>
          <w:rFonts w:asciiTheme="minorHAnsi" w:hAnsiTheme="minorHAnsi" w:cstheme="minorHAnsi"/>
          <w:sz w:val="22"/>
          <w:szCs w:val="22"/>
        </w:rPr>
      </w:pPr>
      <w:r w:rsidRPr="00CB2683">
        <w:rPr>
          <w:rFonts w:asciiTheme="minorHAnsi" w:hAnsiTheme="minorHAnsi" w:cstheme="minorHAnsi"/>
          <w:sz w:val="22"/>
          <w:szCs w:val="22"/>
        </w:rPr>
        <w:br w:type="page"/>
      </w:r>
    </w:p>
    <w:p w14:paraId="1C322802" w14:textId="77777777" w:rsidR="003A46E4" w:rsidRPr="00CB2683" w:rsidRDefault="003A46E4" w:rsidP="003A46E4">
      <w:pPr>
        <w:rPr>
          <w:rFonts w:asciiTheme="minorHAnsi" w:hAnsiTheme="minorHAnsi" w:cstheme="minorHAnsi"/>
          <w:sz w:val="22"/>
          <w:szCs w:val="22"/>
        </w:rPr>
      </w:pPr>
    </w:p>
    <w:p w14:paraId="4EFE60BD" w14:textId="77777777" w:rsidR="00E66132" w:rsidRPr="00CB2683" w:rsidRDefault="00E66132" w:rsidP="0001631B">
      <w:pPr>
        <w:pBdr>
          <w:top w:val="single" w:sz="4" w:space="1" w:color="auto"/>
        </w:pBdr>
        <w:jc w:val="both"/>
        <w:rPr>
          <w:rFonts w:asciiTheme="minorHAnsi" w:hAnsiTheme="minorHAnsi" w:cstheme="minorHAnsi"/>
          <w:sz w:val="16"/>
          <w:szCs w:val="16"/>
        </w:rPr>
      </w:pPr>
    </w:p>
    <w:p w14:paraId="4CB47879"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427E9F8F"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0EBC167B"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60B724E1"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6D0EAE6B" w14:textId="77777777" w:rsidR="001E033A" w:rsidRPr="00227CF7" w:rsidRDefault="001E033A" w:rsidP="001E033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6746212D"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0873A12E" w14:textId="77777777" w:rsidR="001E033A" w:rsidRPr="00227CF7" w:rsidRDefault="001E033A" w:rsidP="001E033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56FB0F6B"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788B4E10"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133EC5FC"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6A3E05EC" w14:textId="77777777" w:rsidR="001E033A" w:rsidRPr="00227CF7" w:rsidRDefault="001E033A" w:rsidP="001E033A">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68762378"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p>
    <w:p w14:paraId="173BB2A6" w14:textId="77777777" w:rsidR="001E033A" w:rsidRPr="00227CF7" w:rsidRDefault="001E033A" w:rsidP="001E033A">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1D517CF0" w14:textId="77777777" w:rsidR="0001631B" w:rsidRPr="00227CF7" w:rsidRDefault="0001631B" w:rsidP="0001631B">
      <w:pPr>
        <w:autoSpaceDE w:val="0"/>
        <w:autoSpaceDN w:val="0"/>
        <w:adjustRightInd w:val="0"/>
        <w:ind w:right="-414"/>
        <w:rPr>
          <w:rFonts w:asciiTheme="minorHAnsi" w:hAnsiTheme="minorHAnsi" w:cstheme="minorHAnsi"/>
          <w:sz w:val="16"/>
          <w:szCs w:val="16"/>
        </w:rPr>
      </w:pPr>
    </w:p>
    <w:p w14:paraId="5A32C439" w14:textId="77777777" w:rsidR="00E945B0" w:rsidRPr="00227CF7" w:rsidRDefault="0001631B" w:rsidP="0001631B">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689EB205" w14:textId="77777777" w:rsidR="0001631B" w:rsidRPr="00227CF7" w:rsidRDefault="0001631B" w:rsidP="0001631B">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2B205890" w14:textId="77777777" w:rsidR="0001631B" w:rsidRPr="00227CF7" w:rsidRDefault="00000000" w:rsidP="0001631B">
      <w:pPr>
        <w:autoSpaceDE w:val="0"/>
        <w:autoSpaceDN w:val="0"/>
        <w:adjustRightInd w:val="0"/>
        <w:ind w:right="-720"/>
        <w:rPr>
          <w:rFonts w:asciiTheme="minorHAnsi" w:hAnsiTheme="minorHAnsi" w:cstheme="minorHAnsi"/>
          <w:color w:val="0563C1"/>
          <w:sz w:val="16"/>
          <w:szCs w:val="16"/>
          <w:u w:val="single" w:color="0563C1"/>
        </w:rPr>
      </w:pPr>
      <w:hyperlink r:id="rId23" w:history="1">
        <w:r w:rsidR="0001631B" w:rsidRPr="00227CF7">
          <w:rPr>
            <w:rFonts w:asciiTheme="minorHAnsi" w:hAnsiTheme="minorHAnsi" w:cstheme="minorHAnsi"/>
            <w:color w:val="0563C1"/>
            <w:sz w:val="16"/>
            <w:szCs w:val="16"/>
            <w:u w:val="single" w:color="0563C1"/>
          </w:rPr>
          <w:t>MarylandPublicSchools.org</w:t>
        </w:r>
      </w:hyperlink>
    </w:p>
    <w:p w14:paraId="12F251A0" w14:textId="77777777" w:rsidR="00E945B0" w:rsidRPr="00227CF7" w:rsidRDefault="00000000" w:rsidP="0001631B">
      <w:pPr>
        <w:autoSpaceDE w:val="0"/>
        <w:autoSpaceDN w:val="0"/>
        <w:adjustRightInd w:val="0"/>
        <w:ind w:right="-720"/>
        <w:rPr>
          <w:rFonts w:asciiTheme="minorHAnsi" w:hAnsiTheme="minorHAnsi" w:cstheme="minorHAnsi"/>
          <w:sz w:val="16"/>
          <w:szCs w:val="16"/>
        </w:rPr>
      </w:pPr>
      <w:hyperlink r:id="rId24" w:history="1">
        <w:r w:rsidR="00E945B0" w:rsidRPr="00227CF7">
          <w:rPr>
            <w:rStyle w:val="Hyperlink"/>
            <w:rFonts w:asciiTheme="minorHAnsi" w:hAnsiTheme="minorHAnsi" w:cstheme="minorHAnsi"/>
            <w:sz w:val="16"/>
            <w:szCs w:val="16"/>
          </w:rPr>
          <w:t>MarylandLearningLinks.org</w:t>
        </w:r>
      </w:hyperlink>
    </w:p>
    <w:sectPr w:rsidR="00E945B0" w:rsidRPr="00227CF7" w:rsidSect="00F26CE6">
      <w:headerReference w:type="default" r:id="rId25"/>
      <w:footerReference w:type="even" r:id="rId26"/>
      <w:footerReference w:type="default" r:id="rId27"/>
      <w:footerReference w:type="first" r:id="rId28"/>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81B3" w14:textId="77777777" w:rsidR="00895E97" w:rsidRDefault="00895E97">
      <w:r>
        <w:separator/>
      </w:r>
    </w:p>
  </w:endnote>
  <w:endnote w:type="continuationSeparator" w:id="0">
    <w:p w14:paraId="0EEFE0AF" w14:textId="77777777" w:rsidR="00895E97" w:rsidRDefault="008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6BDA8EA7"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F8532"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7A708562"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49B9EDC6"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1442" w14:textId="086B1145"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DF16B9">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66D5" w14:textId="77777777" w:rsidR="00895E97" w:rsidRDefault="00895E97">
      <w:r>
        <w:separator/>
      </w:r>
    </w:p>
  </w:footnote>
  <w:footnote w:type="continuationSeparator" w:id="0">
    <w:p w14:paraId="63BFC200" w14:textId="77777777" w:rsidR="00895E97" w:rsidRDefault="0089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BB5" w14:textId="77777777" w:rsidR="003A46E4" w:rsidRDefault="003A46E4">
    <w:pPr>
      <w:pStyle w:val="Header"/>
      <w:rPr>
        <w:rFonts w:ascii="Calibri" w:hAnsi="Calibri" w:cs="Calibri"/>
        <w:b/>
        <w:sz w:val="22"/>
        <w:szCs w:val="22"/>
        <w:lang w:val="en-US"/>
      </w:rPr>
    </w:pPr>
  </w:p>
  <w:p w14:paraId="4CB968A2"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7FEFEC6F"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324E5982" w14:textId="29753EA9" w:rsidR="00BF7380" w:rsidRPr="008F71DC" w:rsidRDefault="00BF7380" w:rsidP="00BF7380">
    <w:pPr>
      <w:pStyle w:val="Header"/>
      <w:rPr>
        <w:rFonts w:ascii="Calibri" w:hAnsi="Calibri" w:cs="Calibri"/>
        <w:b/>
        <w:i/>
        <w:sz w:val="20"/>
        <w:szCs w:val="20"/>
        <w:lang w:val="en-US"/>
      </w:rPr>
    </w:pPr>
    <w:r w:rsidRPr="00BF7380">
      <w:rPr>
        <w:rFonts w:ascii="Calibri" w:hAnsi="Calibri" w:cs="Calibri"/>
        <w:b/>
        <w:i/>
        <w:sz w:val="20"/>
        <w:szCs w:val="20"/>
      </w:rPr>
      <w:t xml:space="preserve">TIPs </w:t>
    </w:r>
    <w:r w:rsidRPr="00BF7380">
      <w:rPr>
        <w:rFonts w:ascii="Calibri" w:hAnsi="Calibri" w:cs="Calibri"/>
        <w:b/>
        <w:i/>
        <w:noProof/>
        <w:sz w:val="20"/>
        <w:szCs w:val="20"/>
      </w:rPr>
      <mc:AlternateContent>
        <mc:Choice Requires="wps">
          <w:drawing>
            <wp:anchor distT="0" distB="0" distL="114300" distR="114300" simplePos="0" relativeHeight="251659264" behindDoc="0" locked="0" layoutInCell="1" allowOverlap="1" wp14:anchorId="425470D9" wp14:editId="3C7A180A">
              <wp:simplePos x="0" y="0"/>
              <wp:positionH relativeFrom="column">
                <wp:posOffset>0</wp:posOffset>
              </wp:positionH>
              <wp:positionV relativeFrom="paragraph">
                <wp:posOffset>0</wp:posOffset>
              </wp:positionV>
              <wp:extent cx="635000" cy="635000"/>
              <wp:effectExtent l="0" t="0" r="0" b="0"/>
              <wp:wrapNone/>
              <wp:docPr id="5"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54D2D6" id="_x0000_t202" coordsize="21600,21600" o:spt="202" path="m,l,21600r21600,l21600,xe">
              <v:stroke joinstyle="miter"/>
              <v:path gradientshapeok="t" o:connecttype="rect"/>
            </v:shapetype>
            <v:shape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" filled="f" stroked="f"/>
          </w:pict>
        </mc:Fallback>
      </mc:AlternateContent>
    </w:r>
    <w:r w:rsidRPr="00BF7380">
      <w:rPr>
        <w:rFonts w:ascii="Calibri" w:hAnsi="Calibri" w:cs="Calibri"/>
        <w:b/>
        <w:i/>
        <w:sz w:val="20"/>
        <w:szCs w:val="20"/>
      </w:rPr>
      <w:t xml:space="preserve">for </w:t>
    </w:r>
    <w:r w:rsidR="008F71DC">
      <w:rPr>
        <w:rFonts w:ascii="Calibri" w:hAnsi="Calibri" w:cs="Calibri"/>
        <w:b/>
        <w:i/>
        <w:sz w:val="20"/>
        <w:szCs w:val="20"/>
        <w:lang w:val="en-US"/>
      </w:rPr>
      <w:t>Implementing Assistive Technology Across Service Delivery Models</w:t>
    </w:r>
  </w:p>
  <w:p w14:paraId="02CC9B62"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040C"/>
    <w:multiLevelType w:val="multilevel"/>
    <w:tmpl w:val="FF588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8F0F68"/>
    <w:multiLevelType w:val="multilevel"/>
    <w:tmpl w:val="62A48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F32D9D"/>
    <w:multiLevelType w:val="multilevel"/>
    <w:tmpl w:val="21ECC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C46B91"/>
    <w:multiLevelType w:val="multilevel"/>
    <w:tmpl w:val="D6284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685817"/>
    <w:multiLevelType w:val="multilevel"/>
    <w:tmpl w:val="5330C0C4"/>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D80B9C"/>
    <w:multiLevelType w:val="multilevel"/>
    <w:tmpl w:val="03EE2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E0A2E51"/>
    <w:multiLevelType w:val="multilevel"/>
    <w:tmpl w:val="44DAC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04241E8"/>
    <w:multiLevelType w:val="multilevel"/>
    <w:tmpl w:val="43A0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5904E1"/>
    <w:multiLevelType w:val="multilevel"/>
    <w:tmpl w:val="B79A0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770F94"/>
    <w:multiLevelType w:val="multilevel"/>
    <w:tmpl w:val="9470F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FE5136B"/>
    <w:multiLevelType w:val="multilevel"/>
    <w:tmpl w:val="45786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63139A"/>
    <w:multiLevelType w:val="multilevel"/>
    <w:tmpl w:val="3D263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12D201E"/>
    <w:multiLevelType w:val="multilevel"/>
    <w:tmpl w:val="8AB4B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22D67BA"/>
    <w:multiLevelType w:val="multilevel"/>
    <w:tmpl w:val="38AED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2761EC"/>
    <w:multiLevelType w:val="multilevel"/>
    <w:tmpl w:val="D1DEC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F2784"/>
    <w:multiLevelType w:val="multilevel"/>
    <w:tmpl w:val="7A1C2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82A45"/>
    <w:multiLevelType w:val="multilevel"/>
    <w:tmpl w:val="93500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61BB5"/>
    <w:multiLevelType w:val="multilevel"/>
    <w:tmpl w:val="2AEA9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250597"/>
    <w:multiLevelType w:val="multilevel"/>
    <w:tmpl w:val="4CBA00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6520140"/>
    <w:multiLevelType w:val="multilevel"/>
    <w:tmpl w:val="4CBE8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099141">
    <w:abstractNumId w:val="0"/>
  </w:num>
  <w:num w:numId="2" w16cid:durableId="643043773">
    <w:abstractNumId w:val="1"/>
  </w:num>
  <w:num w:numId="3" w16cid:durableId="828252584">
    <w:abstractNumId w:val="30"/>
  </w:num>
  <w:num w:numId="4" w16cid:durableId="455758106">
    <w:abstractNumId w:val="29"/>
  </w:num>
  <w:num w:numId="5" w16cid:durableId="1339427394">
    <w:abstractNumId w:val="13"/>
  </w:num>
  <w:num w:numId="6" w16cid:durableId="2141878258">
    <w:abstractNumId w:val="12"/>
  </w:num>
  <w:num w:numId="7" w16cid:durableId="1147891451">
    <w:abstractNumId w:val="23"/>
  </w:num>
  <w:num w:numId="8" w16cid:durableId="1065109390">
    <w:abstractNumId w:val="25"/>
  </w:num>
  <w:num w:numId="9" w16cid:durableId="2094669180">
    <w:abstractNumId w:val="21"/>
  </w:num>
  <w:num w:numId="10" w16cid:durableId="1201167848">
    <w:abstractNumId w:val="19"/>
  </w:num>
  <w:num w:numId="11" w16cid:durableId="418018535">
    <w:abstractNumId w:val="22"/>
  </w:num>
  <w:num w:numId="12" w16cid:durableId="1961257271">
    <w:abstractNumId w:val="4"/>
  </w:num>
  <w:num w:numId="13" w16cid:durableId="1078165408">
    <w:abstractNumId w:val="11"/>
  </w:num>
  <w:num w:numId="14" w16cid:durableId="916785441">
    <w:abstractNumId w:val="5"/>
  </w:num>
  <w:num w:numId="15" w16cid:durableId="384984692">
    <w:abstractNumId w:val="14"/>
  </w:num>
  <w:num w:numId="16" w16cid:durableId="2049255802">
    <w:abstractNumId w:val="8"/>
  </w:num>
  <w:num w:numId="17" w16cid:durableId="496965227">
    <w:abstractNumId w:val="27"/>
  </w:num>
  <w:num w:numId="18" w16cid:durableId="670648456">
    <w:abstractNumId w:val="16"/>
  </w:num>
  <w:num w:numId="19" w16cid:durableId="5140057">
    <w:abstractNumId w:val="15"/>
  </w:num>
  <w:num w:numId="20" w16cid:durableId="808593680">
    <w:abstractNumId w:val="2"/>
  </w:num>
  <w:num w:numId="21" w16cid:durableId="1664316539">
    <w:abstractNumId w:val="18"/>
  </w:num>
  <w:num w:numId="22" w16cid:durableId="1441532145">
    <w:abstractNumId w:val="17"/>
  </w:num>
  <w:num w:numId="23" w16cid:durableId="1074670959">
    <w:abstractNumId w:val="9"/>
  </w:num>
  <w:num w:numId="24" w16cid:durableId="1570920731">
    <w:abstractNumId w:val="28"/>
  </w:num>
  <w:num w:numId="25" w16cid:durableId="1513958531">
    <w:abstractNumId w:val="3"/>
  </w:num>
  <w:num w:numId="26" w16cid:durableId="965427882">
    <w:abstractNumId w:val="20"/>
  </w:num>
  <w:num w:numId="27" w16cid:durableId="1918173683">
    <w:abstractNumId w:val="7"/>
  </w:num>
  <w:num w:numId="28" w16cid:durableId="73169994">
    <w:abstractNumId w:val="10"/>
  </w:num>
  <w:num w:numId="29" w16cid:durableId="1409380867">
    <w:abstractNumId w:val="26"/>
  </w:num>
  <w:num w:numId="30" w16cid:durableId="2038921246">
    <w:abstractNumId w:val="6"/>
  </w:num>
  <w:num w:numId="31" w16cid:durableId="15798270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lJ4CsZfhCb6gwl9HRDO495AXAhxfqjVEze/u/koOgRd2zTeeV4c1O3SVyuOaNMtZC3nYry8ma/Rq30mLuS11ZQ==" w:salt="8iRJb5QnZXjBpR9HwS1a2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64"/>
    <w:rsid w:val="0000587D"/>
    <w:rsid w:val="000117F8"/>
    <w:rsid w:val="00016131"/>
    <w:rsid w:val="0001631B"/>
    <w:rsid w:val="00022AEF"/>
    <w:rsid w:val="00024D65"/>
    <w:rsid w:val="00026103"/>
    <w:rsid w:val="00031703"/>
    <w:rsid w:val="00034454"/>
    <w:rsid w:val="000359A6"/>
    <w:rsid w:val="00040958"/>
    <w:rsid w:val="00041010"/>
    <w:rsid w:val="00043545"/>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76EF0"/>
    <w:rsid w:val="00194916"/>
    <w:rsid w:val="00195716"/>
    <w:rsid w:val="001A27E3"/>
    <w:rsid w:val="001B3725"/>
    <w:rsid w:val="001C18F5"/>
    <w:rsid w:val="001D2E3F"/>
    <w:rsid w:val="001E033A"/>
    <w:rsid w:val="001E2982"/>
    <w:rsid w:val="001E731C"/>
    <w:rsid w:val="00204790"/>
    <w:rsid w:val="00213DCE"/>
    <w:rsid w:val="00227CF7"/>
    <w:rsid w:val="00230CF8"/>
    <w:rsid w:val="00234785"/>
    <w:rsid w:val="00236D2B"/>
    <w:rsid w:val="00243A2C"/>
    <w:rsid w:val="002505C1"/>
    <w:rsid w:val="00254B88"/>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A4FE5"/>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505223"/>
    <w:rsid w:val="005066D7"/>
    <w:rsid w:val="00507ACB"/>
    <w:rsid w:val="00514010"/>
    <w:rsid w:val="00520DAC"/>
    <w:rsid w:val="005401C8"/>
    <w:rsid w:val="00542418"/>
    <w:rsid w:val="00544EC7"/>
    <w:rsid w:val="005506AF"/>
    <w:rsid w:val="00551DE0"/>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314A"/>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1064"/>
    <w:rsid w:val="00806336"/>
    <w:rsid w:val="00806A5F"/>
    <w:rsid w:val="00807853"/>
    <w:rsid w:val="008113CD"/>
    <w:rsid w:val="00811C75"/>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5E97"/>
    <w:rsid w:val="00896286"/>
    <w:rsid w:val="008A739E"/>
    <w:rsid w:val="008B6600"/>
    <w:rsid w:val="008C591B"/>
    <w:rsid w:val="008C67D4"/>
    <w:rsid w:val="008D1A9B"/>
    <w:rsid w:val="008E1EEC"/>
    <w:rsid w:val="008F15F8"/>
    <w:rsid w:val="008F4160"/>
    <w:rsid w:val="008F55DD"/>
    <w:rsid w:val="008F71DC"/>
    <w:rsid w:val="009002FC"/>
    <w:rsid w:val="009012B1"/>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270F7"/>
    <w:rsid w:val="00A30AD5"/>
    <w:rsid w:val="00A3692D"/>
    <w:rsid w:val="00A46783"/>
    <w:rsid w:val="00A539D5"/>
    <w:rsid w:val="00A55EE6"/>
    <w:rsid w:val="00A63ECC"/>
    <w:rsid w:val="00A73D23"/>
    <w:rsid w:val="00A76F89"/>
    <w:rsid w:val="00A8678C"/>
    <w:rsid w:val="00A966C4"/>
    <w:rsid w:val="00AA2D0D"/>
    <w:rsid w:val="00AB333B"/>
    <w:rsid w:val="00AB4D0D"/>
    <w:rsid w:val="00AB7091"/>
    <w:rsid w:val="00AB71D1"/>
    <w:rsid w:val="00AC7D12"/>
    <w:rsid w:val="00AD7D70"/>
    <w:rsid w:val="00AD7EA1"/>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BF7380"/>
    <w:rsid w:val="00C13233"/>
    <w:rsid w:val="00C17E60"/>
    <w:rsid w:val="00C21CFA"/>
    <w:rsid w:val="00C276A3"/>
    <w:rsid w:val="00C30F2C"/>
    <w:rsid w:val="00C32B9B"/>
    <w:rsid w:val="00C46D44"/>
    <w:rsid w:val="00C56748"/>
    <w:rsid w:val="00C64A95"/>
    <w:rsid w:val="00C75F1B"/>
    <w:rsid w:val="00C76522"/>
    <w:rsid w:val="00C82712"/>
    <w:rsid w:val="00C84747"/>
    <w:rsid w:val="00C915DD"/>
    <w:rsid w:val="00C95959"/>
    <w:rsid w:val="00CA00B7"/>
    <w:rsid w:val="00CA48FD"/>
    <w:rsid w:val="00CA5C97"/>
    <w:rsid w:val="00CA6107"/>
    <w:rsid w:val="00CA6385"/>
    <w:rsid w:val="00CB2683"/>
    <w:rsid w:val="00CB76B5"/>
    <w:rsid w:val="00CC28FE"/>
    <w:rsid w:val="00CC4E3A"/>
    <w:rsid w:val="00CC69FD"/>
    <w:rsid w:val="00CE0A2C"/>
    <w:rsid w:val="00CE5EF6"/>
    <w:rsid w:val="00CF77C2"/>
    <w:rsid w:val="00D02A3E"/>
    <w:rsid w:val="00D034D4"/>
    <w:rsid w:val="00D13E8D"/>
    <w:rsid w:val="00D204E5"/>
    <w:rsid w:val="00D34C6F"/>
    <w:rsid w:val="00D366A0"/>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16B9"/>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A48B1"/>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1E50F"/>
  <w15:docId w15:val="{25662B46-1A6B-9E4B-A063-BC67326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Revision">
    <w:name w:val="Revision"/>
    <w:hidden/>
    <w:uiPriority w:val="99"/>
    <w:semiHidden/>
    <w:rsid w:val="00811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atri.uky.edu/resources/ImpPlanform060807.pdf" TargetMode="External"/><Relationship Id="rId18" Type="http://schemas.openxmlformats.org/officeDocument/2006/relationships/hyperlink" Target="https://assistedtechnology.weebly.com/at-continuum.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esearchgate.net/profile/Alfred_Daviso/publication/335737295_Using_Technology_To_Enhance_High_Leverage_Practices_In_Special_Education/links/5d78517c92851cacdb30d262/Using-Technology-To-Enhance-High-Leverage-Practices-In-Special-Education.pdf" TargetMode="External"/><Relationship Id="rId7" Type="http://schemas.openxmlformats.org/officeDocument/2006/relationships/endnotes" Target="endnotes.xml"/><Relationship Id="rId12" Type="http://schemas.openxmlformats.org/officeDocument/2006/relationships/hyperlink" Target="https://marylandlearninglinks.org/voices-from-the-assistive-technology-field/" TargetMode="External"/><Relationship Id="rId17" Type="http://schemas.openxmlformats.org/officeDocument/2006/relationships/hyperlink" Target="https://blog.difflearn.com/2018/10/25/3-ways-fade-prompts/"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aem.cast.org/creating/designing-for-accessibility-pour.html" TargetMode="External"/><Relationship Id="rId20" Type="http://schemas.openxmlformats.org/officeDocument/2006/relationships/hyperlink" Target="http://natri.uky.edu/atPlannermenu.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OYTk9wD-a_FCsQFVWrfPFvYnUA0mfixN/view" TargetMode="External"/><Relationship Id="rId24" Type="http://schemas.openxmlformats.org/officeDocument/2006/relationships/hyperlink" Target="https://marylandlearninglinks.org/"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google.com/accessibility/products-features/" TargetMode="External"/><Relationship Id="rId23" Type="http://schemas.openxmlformats.org/officeDocument/2006/relationships/hyperlink" Target="http://marylandpublicschools.org/Programs/Pages/Special-Education/index.aspx" TargetMode="External"/><Relationship Id="rId28" Type="http://schemas.openxmlformats.org/officeDocument/2006/relationships/footer" Target="footer3.xml"/><Relationship Id="rId10" Type="http://schemas.openxmlformats.org/officeDocument/2006/relationships/hyperlink" Target="http://joyzabala.com/Documents.html" TargetMode="External"/><Relationship Id="rId19" Type="http://schemas.openxmlformats.org/officeDocument/2006/relationships/hyperlink" Target="https://edtechmagazine.com/k12/article/2020/03/using-assistive-technology-empower-students-disabilities-perfcon"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ort.microsoft.com/en-us/office/office-accessibility-center-resources-for-people-with-disabilities-ecab0fcf-d143-4fe8-a2ff-6cd596bddc6d" TargetMode="External"/><Relationship Id="rId22" Type="http://schemas.openxmlformats.org/officeDocument/2006/relationships/hyperlink" Target="https://www.air.org/resource/digital-accessibility-how-schools-and-teachers-can-support-students-disabilities-remote"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D8D147-2BD7-084F-9B95-C50FC549300D}">
  <ds:schemaRefs>
    <ds:schemaRef ds:uri="http://schemas.openxmlformats.org/officeDocument/2006/bibliography"/>
  </ds:schemaRefs>
</ds:datastoreItem>
</file>

<file path=customXml/itemProps2.xml><?xml version="1.0" encoding="utf-8"?>
<ds:datastoreItem xmlns:ds="http://schemas.openxmlformats.org/officeDocument/2006/customXml" ds:itemID="{A9781E9C-7189-4B6B-943C-EABDA5CDC25B}"/>
</file>

<file path=customXml/itemProps3.xml><?xml version="1.0" encoding="utf-8"?>
<ds:datastoreItem xmlns:ds="http://schemas.openxmlformats.org/officeDocument/2006/customXml" ds:itemID="{DE5EA9A0-F5C8-4EAD-9E9F-9E7081D53690}"/>
</file>

<file path=customXml/itemProps4.xml><?xml version="1.0" encoding="utf-8"?>
<ds:datastoreItem xmlns:ds="http://schemas.openxmlformats.org/officeDocument/2006/customXml" ds:itemID="{981C191B-5639-4190-BCD9-BF411F359A4D}"/>
</file>

<file path=docProps/app.xml><?xml version="1.0" encoding="utf-8"?>
<Properties xmlns="http://schemas.openxmlformats.org/officeDocument/2006/extended-properties" xmlns:vt="http://schemas.openxmlformats.org/officeDocument/2006/docPropsVTypes">
  <Template>DEISES_TIPsDocuments.dotx</Template>
  <TotalTime>0</TotalTime>
  <Pages>4</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TIPs for Adapted Physical Education in a Virtual Environment</vt:lpstr>
    </vt:vector>
  </TitlesOfParts>
  <Manager>Marcella Franczkowski</Manager>
  <Company>MSDE</Company>
  <LinksUpToDate>false</LinksUpToDate>
  <CharactersWithSpaces>8666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Adapted Physical Education in a Virtual Environment</dc:title>
  <dc:subject>TIPs for Adapted Physical Education in a Virtual Environment</dc:subject>
  <dc:creator>Brian Morrison</dc:creator>
  <cp:keywords/>
  <dc:description/>
  <cp:lastModifiedBy>Brian Morrison</cp:lastModifiedBy>
  <cp:revision>2</cp:revision>
  <cp:lastPrinted>2019-08-05T12:44:00Z</cp:lastPrinted>
  <dcterms:created xsi:type="dcterms:W3CDTF">2022-08-22T14:46:00Z</dcterms:created>
  <dcterms:modified xsi:type="dcterms:W3CDTF">2022-08-22T14:46:00Z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