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A08D" w14:textId="77777777" w:rsidR="005A19C1" w:rsidRDefault="00126775">
      <w:pPr>
        <w:keepNext/>
        <w:keepLines/>
        <w:spacing w:before="320" w:after="0" w:line="240" w:lineRule="auto"/>
        <w:jc w:val="center"/>
        <w:rPr>
          <w:rFonts w:ascii="Calibri Light" w:eastAsia="Calibri Light" w:hAnsi="Calibri Light" w:cs="Calibri Light"/>
          <w:b/>
          <w:color w:val="2E75B5"/>
          <w:sz w:val="32"/>
          <w:szCs w:val="32"/>
        </w:rPr>
      </w:pPr>
      <w:r>
        <w:rPr>
          <w:rFonts w:ascii="Calibri Light" w:eastAsia="Calibri Light" w:hAnsi="Calibri Light" w:cs="Calibri Light"/>
          <w:b/>
          <w:color w:val="2E75B5"/>
          <w:sz w:val="32"/>
          <w:szCs w:val="32"/>
        </w:rPr>
        <w:t xml:space="preserve">Maryland Comprehensive CCEIS Plan Review and Feedback </w:t>
      </w:r>
    </w:p>
    <w:p w14:paraId="6E494C36" w14:textId="77777777" w:rsidR="005A19C1" w:rsidRDefault="005A19C1">
      <w:pPr>
        <w:spacing w:after="120" w:line="264" w:lineRule="auto"/>
        <w:rPr>
          <w:sz w:val="10"/>
          <w:szCs w:val="10"/>
        </w:rPr>
      </w:pPr>
    </w:p>
    <w:p w14:paraId="0CFDB1BA" w14:textId="77777777" w:rsidR="005A19C1" w:rsidRDefault="00126775">
      <w:pPr>
        <w:keepNext/>
        <w:keepLines/>
        <w:spacing w:before="40" w:line="240" w:lineRule="auto"/>
        <w:rPr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 xml:space="preserve">Local System: </w:t>
      </w:r>
    </w:p>
    <w:p w14:paraId="7B97D4A7" w14:textId="77777777" w:rsidR="005A19C1" w:rsidRDefault="00126775">
      <w:pPr>
        <w:spacing w:after="120" w:line="264" w:lineRule="auto"/>
        <w:rPr>
          <w:sz w:val="24"/>
          <w:szCs w:val="24"/>
        </w:rPr>
      </w:pPr>
      <w:r>
        <w:rPr>
          <w:b/>
          <w:color w:val="44546A"/>
          <w:sz w:val="24"/>
          <w:szCs w:val="24"/>
        </w:rPr>
        <w:t>Date:</w:t>
      </w:r>
    </w:p>
    <w:p w14:paraId="0AC611B1" w14:textId="77777777" w:rsidR="005A19C1" w:rsidRDefault="00126775">
      <w:pPr>
        <w:spacing w:after="120" w:line="26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MSDE Review Team:</w:t>
      </w:r>
    </w:p>
    <w:tbl>
      <w:tblPr>
        <w:tblStyle w:val="a"/>
        <w:tblW w:w="10265" w:type="dxa"/>
        <w:tblInd w:w="-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1029"/>
        <w:gridCol w:w="2558"/>
        <w:gridCol w:w="711"/>
        <w:gridCol w:w="3124"/>
      </w:tblGrid>
      <w:tr w:rsidR="005A19C1" w14:paraId="332006BB" w14:textId="77777777"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BF6"/>
          </w:tcPr>
          <w:p w14:paraId="6BA17310" w14:textId="77777777" w:rsidR="005A19C1" w:rsidRDefault="00126775">
            <w:pPr>
              <w:jc w:val="center"/>
            </w:pPr>
            <w:r>
              <w:t xml:space="preserve">Local System </w:t>
            </w:r>
          </w:p>
          <w:p w14:paraId="2BC81CC2" w14:textId="77777777" w:rsidR="005A19C1" w:rsidRDefault="00126775">
            <w:pPr>
              <w:jc w:val="center"/>
            </w:pPr>
            <w:r>
              <w:t>611 CCEIS Plan Funds</w:t>
            </w:r>
          </w:p>
        </w:tc>
        <w:tc>
          <w:tcPr>
            <w:tcW w:w="1029" w:type="dxa"/>
            <w:tcBorders>
              <w:top w:val="single" w:sz="4" w:space="0" w:color="000000"/>
            </w:tcBorders>
            <w:shd w:val="clear" w:color="auto" w:fill="DEEBF6"/>
          </w:tcPr>
          <w:p w14:paraId="37040057" w14:textId="77777777" w:rsidR="005A19C1" w:rsidRDefault="005A19C1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</w:tcBorders>
            <w:shd w:val="clear" w:color="auto" w:fill="DEEBF6"/>
          </w:tcPr>
          <w:p w14:paraId="2F8DD67C" w14:textId="77777777" w:rsidR="005A19C1" w:rsidRDefault="00126775">
            <w:pPr>
              <w:jc w:val="center"/>
            </w:pPr>
            <w:r>
              <w:t xml:space="preserve">Local System </w:t>
            </w:r>
          </w:p>
          <w:p w14:paraId="6F6A1475" w14:textId="77777777" w:rsidR="005A19C1" w:rsidRDefault="00126775">
            <w:pPr>
              <w:jc w:val="center"/>
            </w:pPr>
            <w:r>
              <w:t>619 CCEIS Plan Funds</w:t>
            </w:r>
          </w:p>
        </w:tc>
        <w:tc>
          <w:tcPr>
            <w:tcW w:w="711" w:type="dxa"/>
            <w:tcBorders>
              <w:top w:val="single" w:sz="4" w:space="0" w:color="000000"/>
            </w:tcBorders>
            <w:shd w:val="clear" w:color="auto" w:fill="DEEBF6"/>
          </w:tcPr>
          <w:p w14:paraId="539FBC4C" w14:textId="77777777" w:rsidR="005A19C1" w:rsidRDefault="005A19C1">
            <w:pPr>
              <w:jc w:val="center"/>
            </w:pPr>
          </w:p>
        </w:tc>
        <w:tc>
          <w:tcPr>
            <w:tcW w:w="31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2D050"/>
          </w:tcPr>
          <w:p w14:paraId="320789C0" w14:textId="77777777" w:rsidR="005A19C1" w:rsidRDefault="00126775">
            <w:pPr>
              <w:jc w:val="center"/>
            </w:pPr>
            <w:r>
              <w:t xml:space="preserve">Local CCEIS Plan Total </w:t>
            </w:r>
          </w:p>
          <w:p w14:paraId="663C51EE" w14:textId="77777777" w:rsidR="005A19C1" w:rsidRDefault="00126775">
            <w:pPr>
              <w:jc w:val="center"/>
            </w:pPr>
            <w:r>
              <w:t>611 + 619 Funds*</w:t>
            </w:r>
          </w:p>
        </w:tc>
      </w:tr>
      <w:tr w:rsidR="005A19C1" w14:paraId="5B81E4E2" w14:textId="77777777">
        <w:trPr>
          <w:trHeight w:val="41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AF03A8" w14:textId="77777777" w:rsidR="005A19C1" w:rsidRDefault="00126775">
            <w:pPr>
              <w:jc w:val="center"/>
            </w:pPr>
            <w:r>
              <w:rPr>
                <w:color w:val="808080"/>
              </w:rPr>
              <w:t>Enter text.</w:t>
            </w:r>
          </w:p>
        </w:tc>
        <w:tc>
          <w:tcPr>
            <w:tcW w:w="1029" w:type="dxa"/>
            <w:tcBorders>
              <w:top w:val="single" w:sz="4" w:space="0" w:color="000000"/>
            </w:tcBorders>
            <w:vAlign w:val="center"/>
          </w:tcPr>
          <w:p w14:paraId="4B2C280F" w14:textId="77777777" w:rsidR="005A19C1" w:rsidRDefault="001267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and/or</w:t>
            </w:r>
          </w:p>
        </w:tc>
        <w:tc>
          <w:tcPr>
            <w:tcW w:w="2558" w:type="dxa"/>
            <w:tcBorders>
              <w:top w:val="single" w:sz="4" w:space="0" w:color="000000"/>
            </w:tcBorders>
            <w:vAlign w:val="center"/>
          </w:tcPr>
          <w:p w14:paraId="7809B42B" w14:textId="77777777" w:rsidR="005A19C1" w:rsidRDefault="00126775">
            <w:pPr>
              <w:jc w:val="center"/>
            </w:pPr>
            <w:r>
              <w:rPr>
                <w:color w:val="808080"/>
              </w:rPr>
              <w:t>Enter text.</w:t>
            </w:r>
          </w:p>
        </w:tc>
        <w:tc>
          <w:tcPr>
            <w:tcW w:w="711" w:type="dxa"/>
            <w:tcBorders>
              <w:top w:val="single" w:sz="4" w:space="0" w:color="000000"/>
            </w:tcBorders>
            <w:vAlign w:val="center"/>
          </w:tcPr>
          <w:p w14:paraId="2751C4F7" w14:textId="77777777" w:rsidR="005A19C1" w:rsidRDefault="0012677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=</w:t>
            </w:r>
          </w:p>
        </w:tc>
        <w:tc>
          <w:tcPr>
            <w:tcW w:w="31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0E93" w14:textId="77777777" w:rsidR="005A19C1" w:rsidRDefault="00126775">
            <w:pPr>
              <w:jc w:val="center"/>
            </w:pPr>
            <w:r>
              <w:rPr>
                <w:color w:val="808080"/>
              </w:rPr>
              <w:t>Enter text.</w:t>
            </w:r>
          </w:p>
        </w:tc>
      </w:tr>
    </w:tbl>
    <w:p w14:paraId="213696E2" w14:textId="77777777" w:rsidR="005A19C1" w:rsidRDefault="00126775">
      <w:pPr>
        <w:spacing w:after="240" w:line="264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 Must equal the </w:t>
      </w:r>
      <w:r>
        <w:rPr>
          <w:b/>
          <w:sz w:val="20"/>
          <w:szCs w:val="20"/>
        </w:rPr>
        <w:t>State Calculated Total</w:t>
      </w:r>
      <w:r>
        <w:rPr>
          <w:sz w:val="20"/>
          <w:szCs w:val="20"/>
        </w:rPr>
        <w:t xml:space="preserve"> above</w:t>
      </w:r>
    </w:p>
    <w:p w14:paraId="46471B57" w14:textId="77777777" w:rsidR="005A19C1" w:rsidRDefault="00126775">
      <w:pPr>
        <w:pStyle w:val="Heading2"/>
        <w:rPr>
          <w:b/>
        </w:rPr>
      </w:pPr>
      <w:r>
        <w:rPr>
          <w:b/>
        </w:rPr>
        <w:t xml:space="preserve">Local System Team </w:t>
      </w:r>
    </w:p>
    <w:p w14:paraId="30F0BE22" w14:textId="116AC026" w:rsidR="005A19C1" w:rsidRDefault="00126775">
      <w:pPr>
        <w:rPr>
          <w:sz w:val="24"/>
          <w:szCs w:val="24"/>
        </w:rPr>
      </w:pPr>
      <w:r>
        <w:rPr>
          <w:sz w:val="24"/>
          <w:szCs w:val="24"/>
        </w:rPr>
        <w:t>Did the local system establish a diverse stakeholder group inclusive of external and internal partners to</w:t>
      </w:r>
      <w:r>
        <w:rPr>
          <w:sz w:val="24"/>
          <w:szCs w:val="24"/>
        </w:rPr>
        <w:t xml:space="preserve"> develop an understanding of disproportionality and the conditions resulting in the local systems identification as significantly disproportio</w:t>
      </w:r>
      <w:r>
        <w:rPr>
          <w:sz w:val="24"/>
          <w:szCs w:val="24"/>
        </w:rPr>
        <w:t>nate.</w:t>
      </w:r>
    </w:p>
    <w:p w14:paraId="1EBAFCEA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Reviewer(s) comments or questions: </w:t>
      </w:r>
    </w:p>
    <w:p w14:paraId="06855954" w14:textId="77777777" w:rsidR="005A19C1" w:rsidRDefault="005A19C1"/>
    <w:p w14:paraId="44C0A775" w14:textId="77777777" w:rsidR="005A19C1" w:rsidRDefault="00126775">
      <w:pPr>
        <w:pStyle w:val="Heading2"/>
        <w:rPr>
          <w:b/>
        </w:rPr>
      </w:pPr>
      <w:r>
        <w:rPr>
          <w:b/>
        </w:rPr>
        <w:t xml:space="preserve">Categories of Analysis/ Significant Disproportionality </w:t>
      </w:r>
    </w:p>
    <w:p w14:paraId="2DE51955" w14:textId="77777777" w:rsidR="005A19C1" w:rsidRDefault="005A19C1"/>
    <w:p w14:paraId="4909A5F3" w14:textId="77777777" w:rsidR="005A19C1" w:rsidRDefault="00126775">
      <w:pPr>
        <w:rPr>
          <w:b/>
          <w:sz w:val="24"/>
          <w:szCs w:val="24"/>
        </w:rPr>
      </w:pP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Identification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Placement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MS Gothic" w:eastAsia="MS Gothic" w:hAnsi="MS Gothic" w:cs="MS Gothic"/>
          <w:b/>
          <w:sz w:val="24"/>
          <w:szCs w:val="24"/>
        </w:rPr>
        <w:t>☐</w:t>
      </w:r>
      <w:r>
        <w:rPr>
          <w:b/>
          <w:sz w:val="24"/>
          <w:szCs w:val="24"/>
        </w:rPr>
        <w:t xml:space="preserve"> Disciplinary Removal </w:t>
      </w:r>
    </w:p>
    <w:p w14:paraId="12302D7A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Reviewer(s) comments or questions: </w:t>
      </w:r>
    </w:p>
    <w:p w14:paraId="5D4D5EC3" w14:textId="77777777" w:rsidR="005A19C1" w:rsidRDefault="005A19C1">
      <w:pPr>
        <w:rPr>
          <w:b/>
        </w:rPr>
      </w:pPr>
    </w:p>
    <w:p w14:paraId="7C393694" w14:textId="77777777" w:rsidR="005A19C1" w:rsidRDefault="00126775">
      <w:pPr>
        <w:pStyle w:val="Heading2"/>
        <w:rPr>
          <w:b/>
        </w:rPr>
      </w:pPr>
      <w:r>
        <w:rPr>
          <w:b/>
        </w:rPr>
        <w:t>Programmatic Self-Assessment and Root Cause Analysis</w:t>
      </w:r>
    </w:p>
    <w:p w14:paraId="39EFC081" w14:textId="77777777" w:rsidR="005A19C1" w:rsidRDefault="00126775">
      <w:pPr>
        <w:rPr>
          <w:sz w:val="24"/>
          <w:szCs w:val="24"/>
        </w:rPr>
      </w:pPr>
      <w:r>
        <w:rPr>
          <w:sz w:val="24"/>
          <w:szCs w:val="24"/>
        </w:rPr>
        <w:t>The d</w:t>
      </w:r>
      <w:r>
        <w:rPr>
          <w:sz w:val="24"/>
          <w:szCs w:val="24"/>
        </w:rPr>
        <w:t xml:space="preserve">ata analysis </w:t>
      </w:r>
      <w:r>
        <w:rPr>
          <w:b/>
          <w:sz w:val="24"/>
          <w:szCs w:val="24"/>
        </w:rPr>
        <w:t>examines the decision-making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processes, procedures, and practices</w:t>
      </w:r>
      <w:r>
        <w:rPr>
          <w:sz w:val="24"/>
          <w:szCs w:val="24"/>
        </w:rPr>
        <w:t xml:space="preserve"> for students ages 3 through 21 with an intentional focus on the impact of Identification, Placement, and Disciplinary Removals on local system </w:t>
      </w:r>
      <w:r>
        <w:rPr>
          <w:b/>
          <w:sz w:val="24"/>
          <w:szCs w:val="24"/>
        </w:rPr>
        <w:t>trends, patterns, and outcomes</w:t>
      </w:r>
      <w:r>
        <w:rPr>
          <w:sz w:val="24"/>
          <w:szCs w:val="24"/>
        </w:rPr>
        <w:t>. Th</w:t>
      </w:r>
      <w:r>
        <w:rPr>
          <w:sz w:val="24"/>
          <w:szCs w:val="24"/>
        </w:rPr>
        <w:t xml:space="preserve">e goal of the analysis is to identify factors contributing to </w:t>
      </w:r>
      <w:r>
        <w:rPr>
          <w:b/>
          <w:sz w:val="24"/>
          <w:szCs w:val="24"/>
        </w:rPr>
        <w:t>disparate impacts</w:t>
      </w:r>
      <w:r>
        <w:rPr>
          <w:sz w:val="24"/>
          <w:szCs w:val="24"/>
        </w:rPr>
        <w:t xml:space="preserve"> on different racial and ethnic groups.</w:t>
      </w:r>
    </w:p>
    <w:p w14:paraId="3DB8EEB4" w14:textId="77777777" w:rsidR="005A19C1" w:rsidRDefault="00126775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Identifies the programmatic self-assessment tool(s) and/or data review process used. [Required]</w:t>
      </w:r>
    </w:p>
    <w:p w14:paraId="7AAA410F" w14:textId="77777777" w:rsidR="005A19C1" w:rsidRDefault="00126775">
      <w:pPr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Summarizes the results of the programmatic self-assessment tool(s) and/or data review process used.</w:t>
      </w:r>
    </w:p>
    <w:p w14:paraId="708EDC33" w14:textId="77777777" w:rsidR="005A19C1" w:rsidRDefault="00126775">
      <w:pPr>
        <w:spacing w:after="0" w:line="240" w:lineRule="auto"/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Root cause analysis </w:t>
      </w:r>
      <w:r>
        <w:t>considers factors within the local s</w:t>
      </w:r>
      <w:r>
        <w:t xml:space="preserve">ystem’s control or influence impacting significant disproportionality including inequities related to district and/or school resources; consistent </w:t>
      </w:r>
      <w:r>
        <w:lastRenderedPageBreak/>
        <w:t>implementation of system policies, procedures, and practices at the district, school, or classroom level; and</w:t>
      </w:r>
      <w:r>
        <w:t xml:space="preserve"> environmental factors such as trauma, poverty, or access to health and human services. </w:t>
      </w:r>
    </w:p>
    <w:p w14:paraId="33A28531" w14:textId="77777777" w:rsidR="005A19C1" w:rsidRDefault="005A19C1">
      <w:pPr>
        <w:spacing w:after="0" w:line="240" w:lineRule="auto"/>
      </w:pPr>
    </w:p>
    <w:p w14:paraId="7CDC7B98" w14:textId="77777777" w:rsidR="005A19C1" w:rsidRDefault="00126775">
      <w:pPr>
        <w:tabs>
          <w:tab w:val="left" w:pos="975"/>
        </w:tabs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Responds to the provided guiding questions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complete a reflective analysis of local system challenges.</w:t>
      </w:r>
    </w:p>
    <w:p w14:paraId="317E6B68" w14:textId="77777777" w:rsidR="005A19C1" w:rsidRDefault="005A19C1">
      <w:pPr>
        <w:tabs>
          <w:tab w:val="left" w:pos="975"/>
        </w:tabs>
        <w:spacing w:after="0" w:line="240" w:lineRule="auto"/>
      </w:pPr>
    </w:p>
    <w:p w14:paraId="59EB51EA" w14:textId="77777777" w:rsidR="005A19C1" w:rsidRDefault="00126775">
      <w:pPr>
        <w:tabs>
          <w:tab w:val="left" w:pos="975"/>
        </w:tabs>
        <w:spacing w:after="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Identifies individual schools and/or feed patte</w:t>
      </w:r>
      <w:r>
        <w:rPr>
          <w:sz w:val="24"/>
          <w:szCs w:val="24"/>
        </w:rPr>
        <w:t>rns contributing to patterns of disproportionality.</w:t>
      </w:r>
    </w:p>
    <w:p w14:paraId="33B275BF" w14:textId="77777777" w:rsidR="005A19C1" w:rsidRDefault="005A19C1">
      <w:pPr>
        <w:spacing w:after="0" w:line="240" w:lineRule="auto"/>
        <w:rPr>
          <w:sz w:val="24"/>
          <w:szCs w:val="24"/>
        </w:rPr>
      </w:pPr>
    </w:p>
    <w:p w14:paraId="605BDDE7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Reviewer(s) comments or questions: </w:t>
      </w:r>
    </w:p>
    <w:p w14:paraId="3F5CC5A1" w14:textId="77777777" w:rsidR="005A19C1" w:rsidRDefault="005A19C1">
      <w:pPr>
        <w:rPr>
          <w:b/>
        </w:rPr>
      </w:pPr>
    </w:p>
    <w:p w14:paraId="65167BBE" w14:textId="77777777" w:rsidR="005A19C1" w:rsidRDefault="00126775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  <w:r>
        <w:rPr>
          <w:rFonts w:ascii="Calibri Light" w:eastAsia="Calibri Light" w:hAnsi="Calibri Light" w:cs="Calibri Light"/>
          <w:b/>
          <w:color w:val="2E75B5"/>
          <w:sz w:val="26"/>
          <w:szCs w:val="26"/>
        </w:rPr>
        <w:t>Planned Response Action(s) – (CCEIS)</w:t>
      </w:r>
    </w:p>
    <w:p w14:paraId="2A960217" w14:textId="77777777" w:rsidR="005A19C1" w:rsidRDefault="005A19C1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</w:p>
    <w:p w14:paraId="57DAEC91" w14:textId="77777777" w:rsidR="005A19C1" w:rsidRDefault="00126775">
      <w:pPr>
        <w:rPr>
          <w:sz w:val="24"/>
          <w:szCs w:val="24"/>
        </w:rPr>
      </w:pPr>
      <w:r>
        <w:rPr>
          <w:sz w:val="24"/>
          <w:szCs w:val="24"/>
        </w:rPr>
        <w:t>Each Planned Response Action(s) (PRA) describes the specific actions, intervening supports, and capacity-building activities needed to target the identified root cause(s) of significant disproportionality. Each PRA includes a projected budget for how the l</w:t>
      </w:r>
      <w:r>
        <w:rPr>
          <w:sz w:val="24"/>
          <w:szCs w:val="24"/>
        </w:rPr>
        <w:t>ocal system will expend the mandatory reserved 611 and 619 funds for CCEIS activities.</w:t>
      </w:r>
    </w:p>
    <w:p w14:paraId="04B26A12" w14:textId="77777777" w:rsidR="005A19C1" w:rsidRDefault="00126775">
      <w:pPr>
        <w:rPr>
          <w:sz w:val="24"/>
          <w:szCs w:val="24"/>
        </w:rPr>
      </w:pPr>
      <w:r>
        <w:rPr>
          <w:sz w:val="24"/>
          <w:szCs w:val="24"/>
        </w:rPr>
        <w:t>Each PRA includes strategies, supports, and/or activities addressing each focus area.</w:t>
      </w:r>
    </w:p>
    <w:p w14:paraId="4B9BDD86" w14:textId="77777777" w:rsidR="005A19C1" w:rsidRDefault="00126775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  <w:r>
        <w:rPr>
          <w:rFonts w:ascii="Calibri Light" w:eastAsia="Calibri Light" w:hAnsi="Calibri Light" w:cs="Calibri Light"/>
          <w:b/>
          <w:color w:val="2E75B5"/>
          <w:sz w:val="26"/>
          <w:szCs w:val="26"/>
        </w:rPr>
        <w:t xml:space="preserve">PRA # </w:t>
      </w:r>
    </w:p>
    <w:p w14:paraId="358E453B" w14:textId="77777777" w:rsidR="005A19C1" w:rsidRDefault="00126775">
      <w:pPr>
        <w:pStyle w:val="Heading3"/>
      </w:pPr>
      <w:bookmarkStart w:id="0" w:name="_heading=h.eiohvs7pgiaz" w:colFirst="0" w:colLast="0"/>
      <w:bookmarkEnd w:id="0"/>
      <w:r>
        <w:t>Alignment of Category of Analysis/Root Cause/ Response Action:</w:t>
      </w:r>
    </w:p>
    <w:p w14:paraId="2E02C353" w14:textId="77777777" w:rsidR="005A19C1" w:rsidRDefault="005A19C1">
      <w:pPr>
        <w:rPr>
          <w:b/>
          <w:sz w:val="24"/>
          <w:szCs w:val="24"/>
        </w:rPr>
      </w:pPr>
    </w:p>
    <w:p w14:paraId="3B0C074B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Measurable O</w:t>
      </w:r>
      <w:r>
        <w:rPr>
          <w:b/>
          <w:sz w:val="24"/>
          <w:szCs w:val="24"/>
        </w:rPr>
        <w:t xml:space="preserve">utcomes </w:t>
      </w:r>
      <w:r>
        <w:rPr>
          <w:sz w:val="24"/>
          <w:szCs w:val="24"/>
        </w:rPr>
        <w:t xml:space="preserve">establish the parameters of success, changes in behavior or condition, and define the fulfillment of purpose and /or program. </w:t>
      </w:r>
    </w:p>
    <w:p w14:paraId="57808E4E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Reviewer(s) comments or questions: </w:t>
      </w:r>
    </w:p>
    <w:p w14:paraId="79E019CE" w14:textId="77777777" w:rsidR="005A19C1" w:rsidRDefault="005A19C1">
      <w:pPr>
        <w:rPr>
          <w:b/>
          <w:sz w:val="24"/>
          <w:szCs w:val="24"/>
        </w:rPr>
      </w:pPr>
    </w:p>
    <w:p w14:paraId="254ADB04" w14:textId="77777777" w:rsidR="005A19C1" w:rsidRDefault="00126775">
      <w:pPr>
        <w:pStyle w:val="Heading2"/>
      </w:pPr>
      <w:bookmarkStart w:id="1" w:name="_heading=h.67gpjiyl341m" w:colFirst="0" w:colLast="0"/>
      <w:bookmarkEnd w:id="1"/>
      <w:r>
        <w:rPr>
          <w:b/>
        </w:rPr>
        <w:t>Focus Areas:</w:t>
      </w:r>
    </w:p>
    <w:p w14:paraId="43C0E093" w14:textId="77777777" w:rsidR="005A19C1" w:rsidRDefault="00126775">
      <w:pPr>
        <w:pStyle w:val="Heading3"/>
      </w:pPr>
      <w:bookmarkStart w:id="2" w:name="_heading=h.io6btngkqya4" w:colFirst="0" w:colLast="0"/>
      <w:bookmarkEnd w:id="2"/>
      <w:r>
        <w:t>Adjustments to Policies, Procedures, and/or Practices</w:t>
      </w:r>
    </w:p>
    <w:p w14:paraId="5974431D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Reviewer(s) comme</w:t>
      </w:r>
      <w:r>
        <w:rPr>
          <w:b/>
          <w:sz w:val="24"/>
          <w:szCs w:val="24"/>
        </w:rPr>
        <w:t xml:space="preserve">nts or questions: </w:t>
      </w:r>
    </w:p>
    <w:p w14:paraId="5C3F95F6" w14:textId="77777777" w:rsidR="005A19C1" w:rsidRDefault="005A19C1">
      <w:pPr>
        <w:rPr>
          <w:b/>
          <w:sz w:val="24"/>
          <w:szCs w:val="24"/>
        </w:rPr>
      </w:pPr>
    </w:p>
    <w:p w14:paraId="0E68E3D3" w14:textId="77777777" w:rsidR="005A19C1" w:rsidRDefault="00126775">
      <w:pPr>
        <w:pStyle w:val="Heading3"/>
        <w:ind w:firstLine="720"/>
      </w:pPr>
      <w:bookmarkStart w:id="3" w:name="_heading=h.4mcz4b27vovi" w:colFirst="0" w:colLast="0"/>
      <w:bookmarkEnd w:id="3"/>
      <w:r>
        <w:t xml:space="preserve">Budget Alignment </w:t>
      </w:r>
    </w:p>
    <w:p w14:paraId="68F8C6E1" w14:textId="77777777" w:rsidR="005A19C1" w:rsidRDefault="0012677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2AF28C8B" w14:textId="77777777" w:rsidR="005A19C1" w:rsidRDefault="00126775">
      <w:pPr>
        <w:pStyle w:val="Heading3"/>
      </w:pPr>
      <w:bookmarkStart w:id="4" w:name="_heading=h.wl0my11ba9ij" w:colFirst="0" w:colLast="0"/>
      <w:bookmarkEnd w:id="4"/>
      <w:r>
        <w:lastRenderedPageBreak/>
        <w:t>Academic or Behavior Intervention</w:t>
      </w:r>
    </w:p>
    <w:p w14:paraId="36066C11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2F6C8B2A" w14:textId="77777777" w:rsidR="005A19C1" w:rsidRDefault="005A19C1">
      <w:pPr>
        <w:rPr>
          <w:b/>
          <w:sz w:val="24"/>
          <w:szCs w:val="24"/>
        </w:rPr>
      </w:pPr>
    </w:p>
    <w:p w14:paraId="72238C91" w14:textId="77777777" w:rsidR="005A19C1" w:rsidRDefault="00126775">
      <w:pPr>
        <w:pStyle w:val="Heading3"/>
        <w:ind w:firstLine="720"/>
      </w:pPr>
      <w:bookmarkStart w:id="5" w:name="_heading=h.bo0eywjdedkc" w:colFirst="0" w:colLast="0"/>
      <w:bookmarkEnd w:id="5"/>
      <w:r>
        <w:t xml:space="preserve">Budget Alignment </w:t>
      </w:r>
    </w:p>
    <w:p w14:paraId="58D48D5C" w14:textId="77777777" w:rsidR="005A19C1" w:rsidRDefault="0012677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6D3FF7D5" w14:textId="77777777" w:rsidR="005A19C1" w:rsidRDefault="00126775">
      <w:pPr>
        <w:pStyle w:val="Heading3"/>
      </w:pPr>
      <w:bookmarkStart w:id="6" w:name="_heading=h.rsvhdnhr2qv" w:colFirst="0" w:colLast="0"/>
      <w:bookmarkEnd w:id="6"/>
      <w:r>
        <w:t>Professional Learning Activities</w:t>
      </w:r>
    </w:p>
    <w:p w14:paraId="4A13986B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6CCB2C64" w14:textId="77777777" w:rsidR="005A19C1" w:rsidRDefault="005A19C1">
      <w:pPr>
        <w:rPr>
          <w:b/>
          <w:sz w:val="24"/>
          <w:szCs w:val="24"/>
        </w:rPr>
      </w:pPr>
    </w:p>
    <w:p w14:paraId="4972EB45" w14:textId="77777777" w:rsidR="005A19C1" w:rsidRDefault="00126775">
      <w:pPr>
        <w:pStyle w:val="Heading3"/>
        <w:ind w:firstLine="720"/>
      </w:pPr>
      <w:bookmarkStart w:id="7" w:name="_heading=h.yfnxp53lg920" w:colFirst="0" w:colLast="0"/>
      <w:bookmarkEnd w:id="7"/>
      <w:r>
        <w:t xml:space="preserve">Budget Alignment </w:t>
      </w:r>
    </w:p>
    <w:p w14:paraId="58B8821E" w14:textId="77777777" w:rsidR="005A19C1" w:rsidRDefault="0012677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3964A0C0" w14:textId="77777777" w:rsidR="005A19C1" w:rsidRDefault="005A19C1">
      <w:pPr>
        <w:rPr>
          <w:sz w:val="24"/>
          <w:szCs w:val="24"/>
        </w:rPr>
      </w:pPr>
    </w:p>
    <w:p w14:paraId="6477B625" w14:textId="77777777" w:rsidR="005A19C1" w:rsidRDefault="00126775">
      <w:pPr>
        <w:pStyle w:val="Heading3"/>
      </w:pPr>
      <w:bookmarkStart w:id="8" w:name="_heading=h.u6pet5fy0own" w:colFirst="0" w:colLast="0"/>
      <w:bookmarkEnd w:id="8"/>
      <w:r>
        <w:t>Adjustments to Policies, Procedures, and/or Practices</w:t>
      </w:r>
    </w:p>
    <w:p w14:paraId="5F93A5D2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Reviewer(s) comments or questions: </w:t>
      </w:r>
    </w:p>
    <w:p w14:paraId="3E4D5736" w14:textId="77777777" w:rsidR="005A19C1" w:rsidRDefault="005A19C1">
      <w:pPr>
        <w:rPr>
          <w:b/>
          <w:sz w:val="24"/>
          <w:szCs w:val="24"/>
        </w:rPr>
      </w:pPr>
    </w:p>
    <w:p w14:paraId="38177800" w14:textId="77777777" w:rsidR="005A19C1" w:rsidRDefault="00126775">
      <w:pPr>
        <w:pStyle w:val="Heading3"/>
        <w:ind w:firstLine="720"/>
      </w:pPr>
      <w:bookmarkStart w:id="9" w:name="_heading=h.z5ee5kn4djq3" w:colFirst="0" w:colLast="0"/>
      <w:bookmarkEnd w:id="9"/>
      <w:r>
        <w:t xml:space="preserve">Budget Alignment </w:t>
      </w:r>
    </w:p>
    <w:p w14:paraId="7763797B" w14:textId="77777777" w:rsidR="005A19C1" w:rsidRDefault="0012677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Reviewer(s) comments or </w:t>
      </w:r>
      <w:r>
        <w:rPr>
          <w:b/>
          <w:sz w:val="24"/>
          <w:szCs w:val="24"/>
        </w:rPr>
        <w:t>questions:</w:t>
      </w:r>
    </w:p>
    <w:p w14:paraId="3E384996" w14:textId="77777777" w:rsidR="005A19C1" w:rsidRDefault="00126775">
      <w:pPr>
        <w:pStyle w:val="Heading3"/>
      </w:pPr>
      <w:bookmarkStart w:id="10" w:name="_heading=h.j2m6r0am91ld" w:colFirst="0" w:colLast="0"/>
      <w:bookmarkEnd w:id="10"/>
      <w:r>
        <w:t>Academic or Behavior Intervention</w:t>
      </w:r>
    </w:p>
    <w:p w14:paraId="106BDA89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14AB617C" w14:textId="77777777" w:rsidR="005A19C1" w:rsidRDefault="005A19C1">
      <w:pPr>
        <w:rPr>
          <w:b/>
          <w:sz w:val="24"/>
          <w:szCs w:val="24"/>
        </w:rPr>
      </w:pPr>
    </w:p>
    <w:p w14:paraId="0DC78FDE" w14:textId="77777777" w:rsidR="005A19C1" w:rsidRDefault="00126775">
      <w:pPr>
        <w:pStyle w:val="Heading3"/>
        <w:ind w:firstLine="720"/>
      </w:pPr>
      <w:bookmarkStart w:id="11" w:name="_heading=h.r67914tbopkg" w:colFirst="0" w:colLast="0"/>
      <w:bookmarkEnd w:id="11"/>
      <w:r>
        <w:t xml:space="preserve">Budget Alignment </w:t>
      </w:r>
    </w:p>
    <w:p w14:paraId="3BE6E581" w14:textId="77777777" w:rsidR="005A19C1" w:rsidRDefault="0012677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23FF6600" w14:textId="77777777" w:rsidR="005A19C1" w:rsidRDefault="00126775">
      <w:pPr>
        <w:pStyle w:val="Heading3"/>
      </w:pPr>
      <w:bookmarkStart w:id="12" w:name="_heading=h.a0sco6x7k2fb" w:colFirst="0" w:colLast="0"/>
      <w:bookmarkEnd w:id="12"/>
      <w:r>
        <w:t>Professional Learning Activities</w:t>
      </w:r>
    </w:p>
    <w:p w14:paraId="17F8C334" w14:textId="77777777" w:rsidR="005A19C1" w:rsidRDefault="00126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3D655405" w14:textId="77777777" w:rsidR="005A19C1" w:rsidRDefault="005A19C1">
      <w:pPr>
        <w:rPr>
          <w:b/>
          <w:sz w:val="24"/>
          <w:szCs w:val="24"/>
        </w:rPr>
      </w:pPr>
    </w:p>
    <w:p w14:paraId="73550B25" w14:textId="77777777" w:rsidR="005A19C1" w:rsidRDefault="00126775">
      <w:pPr>
        <w:pStyle w:val="Heading3"/>
        <w:ind w:firstLine="720"/>
      </w:pPr>
      <w:bookmarkStart w:id="13" w:name="_heading=h.ttgjr7uc6es8" w:colFirst="0" w:colLast="0"/>
      <w:bookmarkEnd w:id="13"/>
      <w:r>
        <w:lastRenderedPageBreak/>
        <w:t xml:space="preserve">Budget Alignment </w:t>
      </w:r>
    </w:p>
    <w:p w14:paraId="209987A6" w14:textId="77777777" w:rsidR="005A19C1" w:rsidRDefault="00126775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Reviewer(s) comments or questions:</w:t>
      </w:r>
    </w:p>
    <w:p w14:paraId="3CF5B2DD" w14:textId="77777777" w:rsidR="005A19C1" w:rsidRDefault="005A19C1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</w:p>
    <w:p w14:paraId="38DB8DAB" w14:textId="77777777" w:rsidR="005A19C1" w:rsidRDefault="00126775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  <w:r>
        <w:rPr>
          <w:rFonts w:ascii="Calibri Light" w:eastAsia="Calibri Light" w:hAnsi="Calibri Light" w:cs="Calibri Light"/>
          <w:b/>
          <w:color w:val="2E75B5"/>
          <w:sz w:val="26"/>
          <w:szCs w:val="26"/>
        </w:rPr>
        <w:t>Action Steps/Follow-up:</w:t>
      </w:r>
    </w:p>
    <w:p w14:paraId="59D6BA9A" w14:textId="77777777" w:rsidR="005A19C1" w:rsidRDefault="005A19C1">
      <w:pPr>
        <w:rPr>
          <w:sz w:val="24"/>
          <w:szCs w:val="24"/>
        </w:rPr>
      </w:pPr>
    </w:p>
    <w:p w14:paraId="1DC18BDA" w14:textId="77777777" w:rsidR="005A19C1" w:rsidRDefault="005A19C1">
      <w:pPr>
        <w:rPr>
          <w:sz w:val="24"/>
          <w:szCs w:val="24"/>
        </w:rPr>
      </w:pPr>
    </w:p>
    <w:p w14:paraId="251EDEDF" w14:textId="77777777" w:rsidR="005A19C1" w:rsidRDefault="005A19C1">
      <w:pPr>
        <w:rPr>
          <w:sz w:val="24"/>
          <w:szCs w:val="24"/>
        </w:rPr>
      </w:pPr>
    </w:p>
    <w:p w14:paraId="2C58DF17" w14:textId="77777777" w:rsidR="005A19C1" w:rsidRDefault="005A19C1">
      <w:pPr>
        <w:rPr>
          <w:sz w:val="24"/>
          <w:szCs w:val="24"/>
        </w:rPr>
      </w:pPr>
    </w:p>
    <w:p w14:paraId="6873332B" w14:textId="77777777" w:rsidR="005A19C1" w:rsidRDefault="00126775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  <w:r>
        <w:rPr>
          <w:rFonts w:ascii="Calibri Light" w:eastAsia="Calibri Light" w:hAnsi="Calibri Light" w:cs="Calibri Light"/>
          <w:b/>
          <w:color w:val="2E75B5"/>
          <w:sz w:val="26"/>
          <w:szCs w:val="26"/>
        </w:rPr>
        <w:t>Timeline for Completion of Actions:</w:t>
      </w:r>
    </w:p>
    <w:p w14:paraId="267EF335" w14:textId="77777777" w:rsidR="005A19C1" w:rsidRDefault="005A19C1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</w:p>
    <w:p w14:paraId="6F44F205" w14:textId="77777777" w:rsidR="005A19C1" w:rsidRDefault="005A19C1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</w:p>
    <w:p w14:paraId="4305ABBE" w14:textId="77777777" w:rsidR="005A19C1" w:rsidRDefault="005A19C1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</w:p>
    <w:p w14:paraId="4B9A70AA" w14:textId="77777777" w:rsidR="005A19C1" w:rsidRDefault="005A19C1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</w:p>
    <w:p w14:paraId="7EE0FF06" w14:textId="77777777" w:rsidR="005A19C1" w:rsidRDefault="005A19C1">
      <w:pPr>
        <w:keepNext/>
        <w:keepLines/>
        <w:spacing w:before="40" w:after="0" w:line="264" w:lineRule="auto"/>
        <w:rPr>
          <w:rFonts w:ascii="Calibri Light" w:eastAsia="Calibri Light" w:hAnsi="Calibri Light" w:cs="Calibri Light"/>
          <w:b/>
          <w:color w:val="2E75B5"/>
          <w:sz w:val="26"/>
          <w:szCs w:val="26"/>
        </w:rPr>
      </w:pPr>
    </w:p>
    <w:sectPr w:rsidR="005A19C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04A3" w14:textId="77777777" w:rsidR="00000000" w:rsidRDefault="00126775">
      <w:pPr>
        <w:spacing w:after="0" w:line="240" w:lineRule="auto"/>
      </w:pPr>
      <w:r>
        <w:separator/>
      </w:r>
    </w:p>
  </w:endnote>
  <w:endnote w:type="continuationSeparator" w:id="0">
    <w:p w14:paraId="53F22872" w14:textId="77777777" w:rsidR="00000000" w:rsidRDefault="0012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7E25" w14:textId="77777777" w:rsidR="00000000" w:rsidRDefault="00126775">
      <w:pPr>
        <w:spacing w:after="0" w:line="240" w:lineRule="auto"/>
      </w:pPr>
      <w:r>
        <w:separator/>
      </w:r>
    </w:p>
  </w:footnote>
  <w:footnote w:type="continuationSeparator" w:id="0">
    <w:p w14:paraId="75509916" w14:textId="77777777" w:rsidR="00000000" w:rsidRDefault="0012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B9AC" w14:textId="77777777" w:rsidR="005A19C1" w:rsidRDefault="005A19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C1"/>
    <w:rsid w:val="00126775"/>
    <w:rsid w:val="005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D240"/>
  <w15:docId w15:val="{F24781BB-826E-4623-9C25-26E9FC7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3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761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66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YdEcfBSe2ezKoeX1+A8rIwEMQ==">AMUW2mUkGCBj7YKqsuXCsXwlwYmrGBR914iq5q6adZE+AUqh9NiNgg8Qb9PLNWoCZ2EElRUCnTyfxDH6o5+94x6FcavXTGyMV4EEdt7k6JBW3+m19sPERkFCqrbldoERcSzdeMJuWBweunh7Y2a7iAflXA/CnlVWYHgYWCr6t2NPgiBmpSq0Vg1rOrNGWqZx2Dr0+Yf/n7QpnyXc5QII6YAX8XYq9tBvMLWPo9u9MI+nRHaQnA7biPuVguR9hc7XCRt0UXk4cYEbwbkusgsEuSqpYW++ROUfXRQYWaxRHKZoOvsH7nWMAB+1Jsa0/WgSJuVQqHVpIZgtNhloDfkEsV3YDp7luijU8qAk3SaeBI86VAU1wcWwN2WRpOKAdSsGp2+qht7d0KFLw/ZCbsXUn6VDsSuBakiw5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5921CD6-45C3-4B2E-9DD6-5C3C5BF491C4}"/>
</file>

<file path=customXml/itemProps3.xml><?xml version="1.0" encoding="utf-8"?>
<ds:datastoreItem xmlns:ds="http://schemas.openxmlformats.org/officeDocument/2006/customXml" ds:itemID="{D2258513-370B-4947-8A2B-9DA111004088}"/>
</file>

<file path=customXml/itemProps4.xml><?xml version="1.0" encoding="utf-8"?>
<ds:datastoreItem xmlns:ds="http://schemas.openxmlformats.org/officeDocument/2006/customXml" ds:itemID="{A19EB2F7-EB32-41E4-9920-44E723B861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Company>Maryland Department of Information Technology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Palmer</dc:creator>
  <cp:lastModifiedBy>Alicia Palmer</cp:lastModifiedBy>
  <cp:revision>2</cp:revision>
  <dcterms:created xsi:type="dcterms:W3CDTF">2021-07-16T19:55:00Z</dcterms:created>
  <dcterms:modified xsi:type="dcterms:W3CDTF">2022-04-04T16:58:00Z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